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Arial Narrow" w:hAnsi="Arial Narrow" w:cs="Arial"/>
          <w:sz w:val="24"/>
          <w:szCs w:val="24"/>
          <w:lang w:val="pl-PL"/>
        </w:rPr>
      </w:pPr>
      <w:bookmarkStart w:id="0" w:name="_GoBack"/>
      <w:bookmarkStart w:id="1" w:name="_GoBack"/>
      <w:bookmarkEnd w:id="1"/>
      <w:r>
        <w:rPr>
          <w:rFonts w:cs="Arial" w:ascii="Arial Narrow" w:hAnsi="Arial Narrow"/>
          <w:sz w:val="24"/>
          <w:szCs w:val="24"/>
          <w:lang w:val="pl-PL"/>
        </w:rPr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51"/>
        <w:gridCol w:w="6910"/>
      </w:tblGrid>
      <w:tr>
        <w:trPr/>
        <w:tc>
          <w:tcPr>
            <w:tcW w:w="2151" w:type="dxa"/>
            <w:tcBorders/>
            <w:shd w:color="auto" w:fill="FFD966" w:themeFill="accent4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91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TCE_CC7</w:t>
            </w:r>
          </w:p>
        </w:tc>
      </w:tr>
      <w:tr>
        <w:trPr/>
        <w:tc>
          <w:tcPr>
            <w:tcW w:w="2151" w:type="dxa"/>
            <w:tcBorders/>
            <w:shd w:color="auto" w:fill="FFD966" w:themeFill="accent4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Type and description</w:t>
            </w:r>
          </w:p>
        </w:tc>
        <w:tc>
          <w:tcPr>
            <w:tcW w:w="691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2151" w:type="dxa"/>
            <w:tcBorders/>
            <w:shd w:color="auto" w:fill="FFD966" w:themeFill="accent4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ECTS credit</w:t>
            </w:r>
          </w:p>
        </w:tc>
        <w:tc>
          <w:tcPr>
            <w:tcW w:w="691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</w:t>
            </w:r>
          </w:p>
        </w:tc>
      </w:tr>
      <w:tr>
        <w:trPr/>
        <w:tc>
          <w:tcPr>
            <w:tcW w:w="2151" w:type="dxa"/>
            <w:tcBorders/>
            <w:shd w:color="auto" w:fill="FFD966" w:themeFill="accent4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691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 Narrow" w:hAnsi="Arial Narrow"/>
                <w:sz w:val="20"/>
                <w:szCs w:val="20"/>
                <w:lang w:val="en-US"/>
              </w:rPr>
              <w:t>Computational methods in non-linear solid mechanics I</w:t>
            </w:r>
          </w:p>
        </w:tc>
      </w:tr>
      <w:tr>
        <w:trPr/>
        <w:tc>
          <w:tcPr>
            <w:tcW w:w="2151" w:type="dxa"/>
            <w:tcBorders/>
            <w:shd w:color="auto" w:fill="FFD966" w:themeFill="accent4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Course name in Polish</w:t>
            </w:r>
          </w:p>
        </w:tc>
        <w:tc>
          <w:tcPr>
            <w:tcW w:w="691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Tekstwstpniesformatowany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Podstawy metod obliczeniowych nieliniowej mechaniki ciała stałego I</w:t>
            </w:r>
          </w:p>
        </w:tc>
      </w:tr>
      <w:tr>
        <w:trPr/>
        <w:tc>
          <w:tcPr>
            <w:tcW w:w="2151" w:type="dxa"/>
            <w:tcBorders/>
            <w:shd w:color="auto" w:fill="FFD966" w:themeFill="accent4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Language of instruction</w:t>
            </w:r>
          </w:p>
        </w:tc>
        <w:tc>
          <w:tcPr>
            <w:tcW w:w="691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English</w:t>
            </w:r>
          </w:p>
        </w:tc>
      </w:tr>
      <w:tr>
        <w:trPr/>
        <w:tc>
          <w:tcPr>
            <w:tcW w:w="2151" w:type="dxa"/>
            <w:tcBorders/>
            <w:shd w:color="auto" w:fill="FFD966" w:themeFill="accent4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Course level</w:t>
            </w:r>
          </w:p>
        </w:tc>
        <w:tc>
          <w:tcPr>
            <w:tcW w:w="691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8 PRK</w:t>
            </w:r>
          </w:p>
        </w:tc>
      </w:tr>
      <w:tr>
        <w:trPr/>
        <w:tc>
          <w:tcPr>
            <w:tcW w:w="2151" w:type="dxa"/>
            <w:tcBorders/>
            <w:shd w:color="auto" w:fill="FFD966" w:themeFill="accent4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 xml:space="preserve">Course coordinator </w:t>
            </w:r>
          </w:p>
        </w:tc>
        <w:tc>
          <w:tcPr>
            <w:tcW w:w="691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Zdzisław Więckowski</w:t>
            </w:r>
          </w:p>
        </w:tc>
      </w:tr>
      <w:tr>
        <w:trPr/>
        <w:tc>
          <w:tcPr>
            <w:tcW w:w="2151" w:type="dxa"/>
            <w:tcBorders/>
            <w:shd w:color="auto" w:fill="FFD966" w:themeFill="accent4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Course instructors</w:t>
            </w:r>
          </w:p>
        </w:tc>
        <w:tc>
          <w:tcPr>
            <w:tcW w:w="691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Paulina Świątkiewicz</w:t>
            </w:r>
          </w:p>
        </w:tc>
      </w:tr>
      <w:tr>
        <w:trPr/>
        <w:tc>
          <w:tcPr>
            <w:tcW w:w="2151" w:type="dxa"/>
            <w:tcBorders/>
            <w:shd w:color="auto" w:fill="FFD966" w:themeFill="accent4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cs="Helvetica" w:ascii="Arial Narrow" w:hAnsi="Arial Narrow"/>
                <w:b/>
                <w:bCs/>
                <w:iCs/>
                <w:color w:val="000000"/>
                <w:sz w:val="18"/>
                <w:szCs w:val="18"/>
                <w:lang w:val="en-GB"/>
              </w:rPr>
              <w:t>Delivery methods and course duration</w:t>
            </w:r>
          </w:p>
        </w:tc>
        <w:tc>
          <w:tcPr>
            <w:tcW w:w="6910" w:type="dxa"/>
            <w:tcBorders/>
            <w:shd w:color="auto" w:fill="auto" w:val="clear"/>
            <w:tcMar>
              <w:left w:w="103" w:type="dxa"/>
            </w:tcMar>
          </w:tcPr>
          <w:tbl>
            <w:tblPr>
              <w:tblW w:w="6678" w:type="dxa"/>
              <w:jc w:val="left"/>
              <w:tblInd w:w="0" w:type="dxa"/>
              <w:tblBorders>
                <w:top w:val="single" w:sz="6" w:space="0" w:color="666666"/>
                <w:left w:val="single" w:sz="6" w:space="0" w:color="666666"/>
              </w:tblBorders>
              <w:tblCellMar>
                <w:top w:w="30" w:type="dxa"/>
                <w:left w:w="14" w:type="dxa"/>
                <w:bottom w:w="30" w:type="dxa"/>
                <w:right w:w="30" w:type="dxa"/>
              </w:tblCellMar>
              <w:tblLook w:firstRow="1" w:noVBand="1" w:lastRow="0" w:firstColumn="1" w:lastColumn="0" w:noHBand="0" w:val="04a0"/>
            </w:tblPr>
            <w:tblGrid>
              <w:gridCol w:w="1055"/>
              <w:gridCol w:w="760"/>
              <w:gridCol w:w="797"/>
              <w:gridCol w:w="926"/>
              <w:gridCol w:w="756"/>
              <w:gridCol w:w="825"/>
              <w:gridCol w:w="740"/>
              <w:gridCol w:w="818"/>
            </w:tblGrid>
            <w:tr>
              <w:trPr>
                <w:tblHeader w:val="true"/>
              </w:trPr>
              <w:tc>
                <w:tcPr>
                  <w:tcW w:w="1055" w:type="dxa"/>
                  <w:tcBorders>
                    <w:top w:val="single" w:sz="6" w:space="0" w:color="666666"/>
                    <w:left w:val="single" w:sz="6" w:space="0" w:color="666666"/>
                  </w:tcBorders>
                  <w:shd w:color="auto" w:fill="CCCCCC" w:val="clear"/>
                  <w:tcMar>
                    <w:left w:w="14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en-GB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en-GB" w:eastAsia="en-GB"/>
                    </w:rPr>
                  </w:r>
                </w:p>
              </w:tc>
              <w:tc>
                <w:tcPr>
                  <w:tcW w:w="760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  <w:lang w:val="pl-PL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Lecture</w:t>
                  </w:r>
                </w:p>
              </w:tc>
              <w:tc>
                <w:tcPr>
                  <w:tcW w:w="797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Tutorials</w:t>
                  </w:r>
                </w:p>
              </w:tc>
              <w:tc>
                <w:tcPr>
                  <w:tcW w:w="926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Laboratory</w:t>
                  </w:r>
                </w:p>
              </w:tc>
              <w:tc>
                <w:tcPr>
                  <w:tcW w:w="756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Project</w:t>
                  </w:r>
                </w:p>
              </w:tc>
              <w:tc>
                <w:tcPr>
                  <w:tcW w:w="825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Seminar</w:t>
                  </w:r>
                </w:p>
              </w:tc>
              <w:tc>
                <w:tcPr>
                  <w:tcW w:w="740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818" w:type="dxa"/>
                  <w:tcBorders>
                    <w:top w:val="single" w:sz="6" w:space="0" w:color="666666"/>
                    <w:right w:val="single" w:sz="6" w:space="0" w:color="666666"/>
                    <w:insideV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Total of teaching hours during semester</w:t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</w:tcBorders>
                  <w:shd w:color="auto" w:fill="EEEEEE" w:val="clear"/>
                  <w:tcMar>
                    <w:top w:w="60" w:type="dxa"/>
                    <w:left w:w="44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Contact hours</w:t>
                  </w:r>
                </w:p>
              </w:tc>
              <w:tc>
                <w:tcPr>
                  <w:tcW w:w="760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15</w:t>
                  </w:r>
                </w:p>
              </w:tc>
              <w:tc>
                <w:tcPr>
                  <w:tcW w:w="797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926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756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825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740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818" w:type="dxa"/>
                  <w:tcBorders>
                    <w:right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15</w:t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</w:tcBorders>
                  <w:shd w:color="auto" w:fill="auto" w:val="clear"/>
                  <w:tcMar>
                    <w:top w:w="60" w:type="dxa"/>
                    <w:left w:w="44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E-learning</w:t>
                  </w:r>
                </w:p>
              </w:tc>
              <w:tc>
                <w:tcPr>
                  <w:tcW w:w="760" w:type="dxa"/>
                  <w:tcBorders/>
                  <w:shd w:color="auto"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97" w:type="dxa"/>
                  <w:tcBorders/>
                  <w:shd w:color="auto"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926" w:type="dxa"/>
                  <w:tcBorders/>
                  <w:shd w:color="auto"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56" w:type="dxa"/>
                  <w:tcBorders/>
                  <w:shd w:color="auto"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825" w:type="dxa"/>
                  <w:tcBorders/>
                  <w:shd w:color="auto"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40" w:type="dxa"/>
                  <w:tcBorders/>
                  <w:shd w:color="auto"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818" w:type="dxa"/>
                  <w:tcBorders>
                    <w:right w:val="single" w:sz="6" w:space="0" w:color="666666"/>
                    <w:insideV w:val="single" w:sz="6" w:space="0" w:color="666666"/>
                  </w:tcBorders>
                  <w:shd w:color="auto"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44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cs="Helvetica" w:ascii="Arial Narrow" w:hAnsi="Arial Narrow"/>
                      <w:color w:val="000000"/>
                      <w:sz w:val="14"/>
                      <w:szCs w:val="14"/>
                      <w:shd w:fill="EEEEEE" w:val="clear"/>
                    </w:rPr>
                    <w:t>Assessment criteria (weightage)</w:t>
                  </w:r>
                </w:p>
              </w:tc>
              <w:tc>
                <w:tcPr>
                  <w:tcW w:w="760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1,00</w:t>
                  </w:r>
                </w:p>
              </w:tc>
              <w:tc>
                <w:tcPr>
                  <w:tcW w:w="797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926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756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825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  <w:tc>
                <w:tcPr>
                  <w:tcW w:w="740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0,00</w:t>
                  </w:r>
                </w:p>
              </w:tc>
              <w:tc>
                <w:tcPr>
                  <w:tcW w:w="818" w:type="dxa"/>
                  <w:tcBorders>
                    <w:bottom w:val="single" w:sz="6" w:space="0" w:color="666666"/>
                    <w:right w:val="single" w:sz="6" w:space="0" w:color="666666"/>
                    <w:insideH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</w:r>
          </w:p>
        </w:tc>
      </w:tr>
      <w:tr>
        <w:trPr/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Course objective</w:t>
            </w:r>
          </w:p>
        </w:tc>
        <w:tc>
          <w:tcPr>
            <w:tcW w:w="6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To present current knowledge on computational methods of non-linear solid mechanics. </w:t>
            </w:r>
          </w:p>
        </w:tc>
      </w:tr>
      <w:tr>
        <w:trPr/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Learning outcomes</w:t>
            </w:r>
          </w:p>
        </w:tc>
        <w:tc>
          <w:tcPr>
            <w:tcW w:w="6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After completing the course, a student will be able to: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1. recognize and formulate the problems of non-linear mechanics (W1 P8S_EG, U1 P8S_UW, U4 P8S_UU);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2. understand the basic iterative procedures of solving non-linear problems (W1 P8S_EG, U1 P8S_UW, U4 P8S_UU);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3. understand the computational methods applied to problems of non-linear solid mechanics (W1 P8S_EG, U1 P8S_UW, U4 P8S_UU).</w:t>
            </w:r>
          </w:p>
        </w:tc>
      </w:tr>
      <w:tr>
        <w:trPr/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cs="Helvetica" w:ascii="Arial Narrow" w:hAnsi="Arial Narrow"/>
                <w:b/>
                <w:bCs/>
                <w:iCs/>
                <w:color w:val="000000"/>
                <w:sz w:val="18"/>
                <w:szCs w:val="18"/>
                <w:lang w:val="en-GB"/>
              </w:rPr>
              <w:t>Assessment methods</w:t>
            </w:r>
          </w:p>
        </w:tc>
        <w:tc>
          <w:tcPr>
            <w:tcW w:w="6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written test</w:t>
            </w:r>
          </w:p>
        </w:tc>
      </w:tr>
      <w:tr>
        <w:trPr/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Prerequisites</w:t>
            </w:r>
          </w:p>
        </w:tc>
        <w:tc>
          <w:tcPr>
            <w:tcW w:w="6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cs="Helvetica" w:ascii="Arial Narrow" w:hAnsi="Arial Narrow"/>
                <w:b/>
                <w:bCs/>
                <w:iCs/>
                <w:color w:val="000000"/>
                <w:sz w:val="18"/>
                <w:szCs w:val="18"/>
                <w:lang w:val="en-GB"/>
              </w:rPr>
              <w:t>Course content with delivery methods</w:t>
            </w:r>
          </w:p>
        </w:tc>
        <w:tc>
          <w:tcPr>
            <w:tcW w:w="6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LECTURE: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Variational formulation of non-linear solid mechanics problems: geometrical non-linearities, physical non-linearities: e.g. plasticity and frictional contact problems.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Basic and advanced procedures of solving non-linear problems.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Application of the finite element method and point-based methods to non-linear engineering problems</w:t>
            </w:r>
          </w:p>
        </w:tc>
      </w:tr>
      <w:tr>
        <w:trPr/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Basic reference materials</w:t>
            </w:r>
          </w:p>
        </w:tc>
        <w:tc>
          <w:tcPr>
            <w:tcW w:w="6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1. O. C. Zienkiewicz and R. L. Taylor, The Finite Element Method, volume I, McGraw-Hill, London, 5th edition, 2000.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2. O. C. Zienkiewicz and R. L. Taylor, The Finite Element Method, volume II. McGraw-Hill, London, 5th edition, 2000.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3. K-J. Bathe, Finite Element Procedures in Engineering Analysis, Prentice-Hall, Englewood Cliffs, 1982.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4. G. Dhatt and G. Touzot, The Finite Element Method Displayed, John Wiley &amp; Sons, Chichester, 1984.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5. T. J. R. Hughes, The Finite Element Method: Linear Static and Dynamic Finite Element Analysis, Prentice-Hall International, Inc., New Jersey, 1987.</w:t>
            </w:r>
          </w:p>
        </w:tc>
      </w:tr>
      <w:tr>
        <w:trPr/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Other reference materials</w:t>
            </w:r>
          </w:p>
        </w:tc>
        <w:tc>
          <w:tcPr>
            <w:tcW w:w="6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Average student workload outside classroom</w:t>
            </w:r>
          </w:p>
        </w:tc>
        <w:tc>
          <w:tcPr>
            <w:tcW w:w="6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15 hours</w:t>
            </w:r>
          </w:p>
        </w:tc>
      </w:tr>
      <w:tr>
        <w:trPr/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6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Last update</w:t>
            </w:r>
          </w:p>
        </w:tc>
        <w:tc>
          <w:tcPr>
            <w:tcW w:w="6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5 April, 2019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0ac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 w:customStyle="1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extBody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ohit Devanagari"/>
    </w:rPr>
  </w:style>
  <w:style w:type="paragraph" w:styleId="TextBody" w:customStyle="1">
    <w:name w:val="Text Body"/>
    <w:basedOn w:val="Normal"/>
    <w:qFormat/>
    <w:pPr>
      <w:spacing w:lineRule="auto" w:line="288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wstpniesformatowany" w:customStyle="1">
    <w:name w:val="Tekst wstępnie sformatowany"/>
    <w:basedOn w:val="Normal"/>
    <w:qFormat/>
    <w:pPr/>
    <w:rPr/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80acb"/>
    <w:pPr>
      <w:spacing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5EDAE513-C4F1-4E9D-91AC-318432AC165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Application>LibreOffice/5.3.0.3$Windows_x86 LibreOffice_project/7074905676c47b82bbcfbea1aeefc84afe1c50e1</Application>
  <Pages>1</Pages>
  <Words>312</Words>
  <Characters>1912</Characters>
  <CharactersWithSpaces>2160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2019-03-24T15:03:00Z</dcterms:created>
  <dc:creator>pc</dc:creator>
  <dc:description/>
  <dc:language>en-US</dc:language>
  <cp:lastModifiedBy>Małgorzata Kupczyńska</cp:lastModifiedBy>
  <cp:lastPrinted>2019-04-03T15:57:00Z</cp:lastPrinted>
  <dcterms:modified xsi:type="dcterms:W3CDTF">2019-05-24T14:51:00Z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