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6"/>
        <w:gridCol w:w="6905"/>
      </w:tblGrid>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Rodzaj  i oznaczenie</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VP – wykład profesora wizytującego </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wykładu</w:t>
            </w:r>
          </w:p>
        </w:tc>
        <w:tc>
          <w:tcPr>
            <w:tcW w:w="6905" w:type="dxa"/>
            <w:tcBorders/>
            <w:shd w:fill="auto" w:val="clear"/>
            <w:tcMar>
              <w:left w:w="108" w:type="dxa"/>
            </w:tcMar>
          </w:tcPr>
          <w:p>
            <w:pPr>
              <w:pStyle w:val="Normal"/>
              <w:spacing w:lineRule="auto" w:line="240" w:before="0" w:after="0"/>
              <w:jc w:val="both"/>
              <w:rPr>
                <w:rFonts w:ascii="Arial Narrow" w:hAnsi="Arial Narrow"/>
                <w:b/>
                <w:b/>
                <w:sz w:val="18"/>
                <w:szCs w:val="18"/>
                <w:lang w:val="en-US"/>
              </w:rPr>
            </w:pPr>
            <w:r>
              <w:rPr>
                <w:rFonts w:ascii="Arial Narrow" w:hAnsi="Arial Narrow"/>
                <w:b/>
                <w:sz w:val="18"/>
                <w:szCs w:val="18"/>
                <w:lang w:val="en-US"/>
              </w:rPr>
              <w:t>BES in the regional ecosystem with circular economy approach</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 języku polskim</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Wskaźniki BES w regionalnych ecosystemach w świetle zasad gospodarki o obiegu zamkniętym</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Język prowadzenia zajęć</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Angielski</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Prowadzący</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PhD Paolo Fiume – CIHEAM Bari</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Prof. Annalisa Romani UniFi</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en-GB"/>
              </w:rPr>
              <w:t>Prof. Agata Matarazzo UniCa</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zajęć i liczba godzin</w:t>
            </w:r>
          </w:p>
        </w:tc>
        <w:tc>
          <w:tcPr>
            <w:tcW w:w="6905" w:type="dxa"/>
            <w:tcBorders/>
            <w:shd w:fill="auto" w:val="clear"/>
            <w:tcMar>
              <w:left w:w="108" w:type="dxa"/>
            </w:tcMar>
          </w:tcPr>
          <w:tbl>
            <w:tblPr>
              <w:tblW w:w="6673"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7"/>
              <w:gridCol w:w="764"/>
              <w:gridCol w:w="799"/>
              <w:gridCol w:w="928"/>
              <w:gridCol w:w="762"/>
              <w:gridCol w:w="827"/>
              <w:gridCol w:w="746"/>
              <w:gridCol w:w="789"/>
            </w:tblGrid>
            <w:tr>
              <w:trPr>
                <w:tblHeader w:val="true"/>
              </w:trPr>
              <w:tc>
                <w:tcPr>
                  <w:tcW w:w="1057"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Wykład</w:t>
                  </w:r>
                </w:p>
              </w:tc>
              <w:tc>
                <w:tcPr>
                  <w:tcW w:w="799"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Ćwiczenia</w:t>
                  </w:r>
                </w:p>
              </w:tc>
              <w:tc>
                <w:tcPr>
                  <w:tcW w:w="92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Laboratorium</w:t>
                  </w:r>
                </w:p>
              </w:tc>
              <w:tc>
                <w:tcPr>
                  <w:tcW w:w="762"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Projekt</w:t>
                  </w:r>
                </w:p>
              </w:tc>
              <w:tc>
                <w:tcPr>
                  <w:tcW w:w="82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Seminarium</w:t>
                  </w:r>
                </w:p>
              </w:tc>
              <w:tc>
                <w:tcPr>
                  <w:tcW w:w="74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Inne</w:t>
                  </w:r>
                </w:p>
              </w:tc>
              <w:tc>
                <w:tcPr>
                  <w:tcW w:w="789"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 xml:space="preserve">Suma godzin </w:t>
                  </w:r>
                </w:p>
              </w:tc>
            </w:tr>
            <w:tr>
              <w:trPr/>
              <w:tc>
                <w:tcPr>
                  <w:tcW w:w="1057"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Godziny kontaktowe</w:t>
                  </w:r>
                </w:p>
              </w:tc>
              <w:tc>
                <w:tcPr>
                  <w:tcW w:w="76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99"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928"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762" w:type="dxa"/>
                  <w:tcBorders/>
                  <w:shd w:color="auto" w:fill="EEEEEE" w:val="clear"/>
                  <w:tcMar>
                    <w:top w:w="60" w:type="dxa"/>
                    <w:left w:w="60" w:type="dxa"/>
                    <w:bottom w:w="60" w:type="dxa"/>
                    <w:right w:w="60" w:type="dxa"/>
                  </w:tcMar>
                </w:tcPr>
                <w:p>
                  <w:pPr>
                    <w:pStyle w:val="Normal"/>
                    <w:spacing w:lineRule="auto" w:line="240" w:before="0" w:after="0"/>
                    <w:jc w:val="center"/>
                    <w:rPr/>
                  </w:pPr>
                  <w:r>
                    <w:rPr/>
                    <w:t>15</w:t>
                  </w:r>
                </w:p>
              </w:tc>
              <w:tc>
                <w:tcPr>
                  <w:tcW w:w="827"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746" w:type="dxa"/>
                  <w:tcBorders/>
                  <w:shd w:color="auto" w:fill="EEEEEE" w:val="clear"/>
                  <w:tcMar>
                    <w:top w:w="60" w:type="dxa"/>
                    <w:left w:w="60" w:type="dxa"/>
                    <w:bottom w:w="60" w:type="dxa"/>
                    <w:right w:w="60" w:type="dxa"/>
                  </w:tcMar>
                </w:tcPr>
                <w:p>
                  <w:pPr>
                    <w:pStyle w:val="Normal"/>
                    <w:spacing w:lineRule="auto" w:line="240" w:before="0" w:after="0"/>
                    <w:jc w:val="center"/>
                    <w:rPr/>
                  </w:pPr>
                  <w:r>
                    <w:rPr>
                      <w:rFonts w:eastAsia="Times New Roman" w:cs="Times New Roman" w:ascii="Arial Narrow" w:hAnsi="Arial Narrow"/>
                      <w:sz w:val="14"/>
                      <w:szCs w:val="14"/>
                      <w:lang w:eastAsia="en-GB"/>
                    </w:rPr>
                    <w:t>0</w:t>
                  </w:r>
                </w:p>
              </w:tc>
              <w:tc>
                <w:tcPr>
                  <w:tcW w:w="789"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bookmarkStart w:id="0" w:name="_GoBack"/>
                  <w:bookmarkEnd w:id="0"/>
                  <w:r>
                    <w:rPr>
                      <w:rFonts w:eastAsia="Times New Roman" w:cs="Times New Roman" w:ascii="Arial Narrow" w:hAnsi="Arial Narrow"/>
                      <w:sz w:val="14"/>
                      <w:szCs w:val="14"/>
                      <w:lang w:eastAsia="en-GB"/>
                    </w:rPr>
                    <w:t>30</w:t>
                  </w:r>
                </w:p>
              </w:tc>
            </w:tr>
            <w:tr>
              <w:trPr/>
              <w:tc>
                <w:tcPr>
                  <w:tcW w:w="1057"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6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99"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2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62"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2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4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89"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57"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6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99"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2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2"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4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89"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lang w:val="pl-PL"/>
              </w:rPr>
            </w:pPr>
            <w:r>
              <w:rPr>
                <w:rFonts w:ascii="Arial Narrow" w:hAnsi="Arial Narrow"/>
                <w:sz w:val="18"/>
                <w:szCs w:val="18"/>
                <w:lang w:val="pl-PL"/>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Zakres wykładu</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Społeczna odpowiedzialność biznesu jest jednym z elementów zarządzania przedsiębiorstwem. Każde przedsiębiorstwo powinno kreować zatem swoją strategię w taki sposób by zmniejszać swój wpływ na środowisko naturalne oraz zmniejszać nierówności społeczne. </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Kluczowym celem kursu jest zatem wskazanie uczestnikom różnorodnych rozwiązań jakie należy stosować w procesie zarządzania przedsiębiorstwami by wpływać na wskaźniki sprawiedliwego i zrównoważonego dobrobytu (BES) oraz wskaźniki dobrobytu społecznego, gospodarczego i środowiskowego. Tego rodzaju podejście w zarządzaniu jest kluczowym elementem w kształtowaniu wskaźników ocenianych w zarządzaniu w dziedzinie zdrowia np.: "oczekiwana długość życia przy urodzeniu" i „nadzieja na życie w dobrym zdrowiu".</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Wymagania gospodarki cyrkularnej są w ścisłym związku z kreowaniem BES w przedsiębiorstwach, dlatego współcześni menadżerowie powinni znać kluczowe elementy związane z tym podejściem by kreować nowe zasady zarządzania przedsiębiorstwami. </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WYKŁAD</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Sprawiedliwe i zrównoważone wskaźniki dobrobytu (BES)</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BES w modelu biznesowym"</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Ramy prawne dla wdrożenia BES modelu CE w Unii Europejskiej</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Budowanie strategii dotyczących odpowiedzialności społecznej, komunikacji na rzecz zrównoważonego rozwoju</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Rola gospodarki cyrkulacyjnej we wdrażaniu BES w modelach zrównoważonej produkcji i konsumpcji</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Zapobieganie negatywnym środowiskowym wpływom zewnętrznym oraz realizacja nowych wartości społecznych i terytorialnych.</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TUTORIAŁY</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Znajdź i zaprezentuj dobre praktyki BES w regionalnym ekosystemie z cyrkulacyjnymi modelami biznesowymi w wybranych sektorach.</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Zaproponuj model biznesowy dla wybranego sektora lub wybranego przedsiębiorstwa uwzględniający wskaźniki BES.</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Przedstawić wyniki</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zaliczenia</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Metody weryfikacji efektów uczenia się</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Efekt 1-3 - test pisemny, udział w debacie oksfordzkiej</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Efekty uczenia się 3-4 - przygotowanie i prezentacja indywidualnego zadania</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Na ocenę końcową składa się:</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Wynik egzaminu pisemnego - 20%.</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Przygotowanie i udział w debacie oksfordzkiej 40%.</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Przygotowanie i prezentacja indywidualnego zadania - 40%.</w:t>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Literatura podstawowa</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before="0" w:after="0"/>
              <w:rPr/>
            </w:pPr>
            <w:r>
              <w:rPr>
                <w:rStyle w:val="Tlidtranslation"/>
                <w:rFonts w:eastAsia="Times New Roman" w:ascii="Arial Narrow" w:hAnsi="Arial Narrow"/>
                <w:sz w:val="18"/>
                <w:szCs w:val="18"/>
              </w:rPr>
              <w:t xml:space="preserve">ADEME, Food Losses and Waste: Inventory and Management at Each Stage in the Food Chain. Executive Summary, May 2016, </w:t>
            </w:r>
            <w:hyperlink r:id="rId2">
              <w:r>
                <w:rPr>
                  <w:rStyle w:val="Tlidtranslation"/>
                  <w:rFonts w:eastAsia="Times New Roman" w:ascii="Arial Narrow" w:hAnsi="Arial Narrow"/>
                  <w:sz w:val="18"/>
                  <w:szCs w:val="18"/>
                </w:rPr>
                <w:t>http://www.ademe.fr/en/node/169466</w:t>
              </w:r>
            </w:hyperlink>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Aile Silvija, EU Waste Target Review – State-Of-Play, presentation to the EU Platform Sub-group on food waste measurement meeting, Brussels, 31 March 2017, https:// ec.europa.eu/food/sites/food/files/safety/docs/fw_eu-platform_20170331_euwaste-target.pdf</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AA.VV. 2005: Ecosystems and Human Well-being: Scenarios, in: “Millennium Ecosystem Assessment”, Island Press, available on web:  http://www.millenniumassessment.org/documents/document.332.aspx.pdf.</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AA.VV., 2013, “Be in the Loop: Circular Economy &amp; Strategic Sustainable Development”, School of Engineering Blekinge Institute of Technology Karlskrona, Sweden</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Bakan I., Doğan İ. F. 2012: Competitiveness of The Industries Based on the Porter's Diamond Model: an Empirical Study, IJRRAS 11 (3), June 2012.</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Becattini G. (ed.) 1987: Mercato e forze locali. Il distretto industriale, Il Mulino, Bologna.</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Becattini G. (ed.) 1989: Modelli locali di sviluppo, Il Mulino, Bologna.</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Clark N., 2002. Innovation systems, institutional change and the new knowledge market: implications for Third World agricultural development. Economics of Innovation and New Technology, 11: 353-368.</w:t>
            </w:r>
          </w:p>
          <w:p>
            <w:pPr>
              <w:pStyle w:val="ListParagraph"/>
              <w:numPr>
                <w:ilvl w:val="0"/>
                <w:numId w:val="2"/>
              </w:numPr>
              <w:spacing w:lineRule="auto" w:line="240" w:before="0" w:after="0"/>
              <w:rPr/>
            </w:pPr>
            <w:r>
              <w:rPr>
                <w:rStyle w:val="Tlidtranslation"/>
                <w:rFonts w:eastAsia="Times New Roman" w:ascii="Arial Narrow" w:hAnsi="Arial Narrow"/>
                <w:sz w:val="18"/>
                <w:szCs w:val="18"/>
              </w:rPr>
              <w:t xml:space="preserve">European Commission, Report on the Implementation of the Circular Economy Action Plan (COM/2017/33), 26 January 2017, </w:t>
            </w:r>
            <w:hyperlink r:id="rId3">
              <w:r>
                <w:rPr>
                  <w:rStyle w:val="Tlidtranslation"/>
                  <w:rFonts w:eastAsia="Times New Roman" w:ascii="Arial Narrow" w:hAnsi="Arial Narrow"/>
                  <w:sz w:val="18"/>
                  <w:szCs w:val="18"/>
                </w:rPr>
                <w:t>http://eur-lex.europa.eu/legalcontent/en/TXT/?uri=celex:52017DC0033</w:t>
              </w:r>
            </w:hyperlink>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Food and Agriculture Organization (FAO), Food Wastage Footprint. Full-cost Accounting, 2014, http://www.fao.org/3/a-i3991e.pdf</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 xml:space="preserve">Food and Agriculture Organization (FAO), Food Wastage Footprint &amp; Climate Change, 2015, http://www.fao.org/3/a-bb144e.pdf </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 xml:space="preserve">Food Waste data set for EU-28 – New estimates and Environmental Impact, October 2015, </w:t>
            </w:r>
          </w:p>
          <w:p>
            <w:pPr>
              <w:pStyle w:val="Normal"/>
              <w:spacing w:before="0" w:after="0"/>
              <w:jc w:val="both"/>
              <w:rPr>
                <w:rFonts w:ascii="Arial Narrow" w:hAnsi="Arial Narrow"/>
                <w:sz w:val="18"/>
                <w:szCs w:val="18"/>
                <w:lang w:val="en-US"/>
              </w:rPr>
            </w:pPr>
            <w:r>
              <w:rPr>
                <w:rFonts w:ascii="Arial Narrow" w:hAnsi="Arial Narrow"/>
                <w:sz w:val="18"/>
                <w:szCs w:val="18"/>
                <w:lang w:val="en-US"/>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Literatura uzupełniająca</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Przeciętne obciążenie godzinowe doktoranta pracą własną</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20h</w:t>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Uwagi</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Aktualizacja</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rPr/>
      </w:pPr>
      <w:r>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6"/>
        <w:gridCol w:w="6905"/>
      </w:tblGrid>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Type and description</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VP</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w:t>
            </w:r>
          </w:p>
        </w:tc>
        <w:tc>
          <w:tcPr>
            <w:tcW w:w="6905" w:type="dxa"/>
            <w:tcBorders/>
            <w:shd w:fill="auto" w:val="clear"/>
            <w:tcMar>
              <w:left w:w="108" w:type="dxa"/>
            </w:tcMar>
          </w:tcPr>
          <w:p>
            <w:pPr>
              <w:pStyle w:val="Normal"/>
              <w:spacing w:lineRule="auto" w:line="240" w:before="0" w:after="0"/>
              <w:jc w:val="both"/>
              <w:rPr>
                <w:rFonts w:ascii="Arial Narrow" w:hAnsi="Arial Narrow"/>
                <w:b/>
                <w:b/>
                <w:sz w:val="18"/>
                <w:szCs w:val="18"/>
                <w:lang w:val="en-US"/>
              </w:rPr>
            </w:pPr>
            <w:r>
              <w:rPr>
                <w:rFonts w:ascii="Arial Narrow" w:hAnsi="Arial Narrow"/>
                <w:b/>
                <w:sz w:val="18"/>
                <w:szCs w:val="18"/>
                <w:lang w:val="en-US"/>
              </w:rPr>
              <w:t>BES in the regional ecosystem with circular economy approach</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 in Polish</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Wskaźniki BES w regionalnych ecosystemach w świetle zasad gospodarki o obiegu zamkniętym</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Language of instruction</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English</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coordinator and academic teachers</w:t>
            </w:r>
          </w:p>
        </w:tc>
        <w:tc>
          <w:tcPr>
            <w:tcW w:w="6905"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PhD Paolo Fiume – CIHEAM Bari</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Prof. Annalisa Romani UniFi</w:t>
            </w:r>
          </w:p>
          <w:p>
            <w:pPr>
              <w:pStyle w:val="Normal"/>
              <w:spacing w:lineRule="auto" w:line="240" w:before="0" w:after="0"/>
              <w:jc w:val="both"/>
              <w:rPr>
                <w:rFonts w:ascii="Arial Narrow" w:hAnsi="Arial Narrow"/>
                <w:sz w:val="18"/>
                <w:szCs w:val="18"/>
                <w:lang w:val="it-IT"/>
              </w:rPr>
            </w:pPr>
            <w:r>
              <w:rPr>
                <w:rFonts w:ascii="Arial Narrow" w:hAnsi="Arial Narrow"/>
                <w:sz w:val="18"/>
                <w:szCs w:val="18"/>
                <w:lang w:val="en-GB"/>
              </w:rPr>
              <w:t>Prof. Agata Matarazzo UniCa</w:t>
            </w:r>
          </w:p>
        </w:tc>
      </w:tr>
      <w:tr>
        <w:trPr/>
        <w:tc>
          <w:tcPr>
            <w:tcW w:w="2156"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Form of classes and number of teaching hours</w:t>
            </w:r>
          </w:p>
        </w:tc>
        <w:tc>
          <w:tcPr>
            <w:tcW w:w="6905" w:type="dxa"/>
            <w:tcBorders/>
            <w:shd w:fill="auto" w:val="clear"/>
            <w:tcMar>
              <w:left w:w="108" w:type="dxa"/>
            </w:tcMar>
          </w:tcPr>
          <w:tbl>
            <w:tblPr>
              <w:tblW w:w="6673"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7"/>
              <w:gridCol w:w="764"/>
              <w:gridCol w:w="799"/>
              <w:gridCol w:w="928"/>
              <w:gridCol w:w="762"/>
              <w:gridCol w:w="827"/>
              <w:gridCol w:w="746"/>
              <w:gridCol w:w="789"/>
            </w:tblGrid>
            <w:tr>
              <w:trPr>
                <w:tblHeader w:val="true"/>
              </w:trPr>
              <w:tc>
                <w:tcPr>
                  <w:tcW w:w="1057"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Lecture</w:t>
                  </w:r>
                </w:p>
              </w:tc>
              <w:tc>
                <w:tcPr>
                  <w:tcW w:w="799"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Tutorials</w:t>
                  </w:r>
                </w:p>
              </w:tc>
              <w:tc>
                <w:tcPr>
                  <w:tcW w:w="92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Laboratory</w:t>
                  </w:r>
                </w:p>
              </w:tc>
              <w:tc>
                <w:tcPr>
                  <w:tcW w:w="762"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Project</w:t>
                  </w:r>
                </w:p>
              </w:tc>
              <w:tc>
                <w:tcPr>
                  <w:tcW w:w="82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Seminar</w:t>
                  </w:r>
                </w:p>
              </w:tc>
              <w:tc>
                <w:tcPr>
                  <w:tcW w:w="74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Other</w:t>
                  </w:r>
                </w:p>
              </w:tc>
              <w:tc>
                <w:tcPr>
                  <w:tcW w:w="789"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lang w:val="en-GB"/>
                    </w:rPr>
                  </w:pPr>
                  <w:r>
                    <w:rPr>
                      <w:rFonts w:cs="Helvetica" w:ascii="Arial Narrow" w:hAnsi="Arial Narrow"/>
                      <w:b/>
                      <w:bCs/>
                      <w:color w:val="000000"/>
                      <w:sz w:val="14"/>
                      <w:szCs w:val="14"/>
                      <w:lang w:val="en-GB"/>
                    </w:rPr>
                    <w:t>Total of teaching hours during semester</w:t>
                  </w:r>
                </w:p>
              </w:tc>
            </w:tr>
            <w:tr>
              <w:trPr/>
              <w:tc>
                <w:tcPr>
                  <w:tcW w:w="1057"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Contact hours</w:t>
                  </w:r>
                </w:p>
              </w:tc>
              <w:tc>
                <w:tcPr>
                  <w:tcW w:w="76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15</w:t>
                  </w:r>
                </w:p>
              </w:tc>
              <w:tc>
                <w:tcPr>
                  <w:tcW w:w="799"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92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762"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15</w:t>
                  </w:r>
                </w:p>
              </w:tc>
              <w:tc>
                <w:tcPr>
                  <w:tcW w:w="8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74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w:t>
                  </w:r>
                </w:p>
              </w:tc>
              <w:tc>
                <w:tcPr>
                  <w:tcW w:w="789"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30 lub 60</w:t>
                  </w:r>
                </w:p>
              </w:tc>
            </w:tr>
            <w:tr>
              <w:trPr/>
              <w:tc>
                <w:tcPr>
                  <w:tcW w:w="1057"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E-learning</w:t>
                  </w:r>
                </w:p>
              </w:tc>
              <w:tc>
                <w:tcPr>
                  <w:tcW w:w="76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No</w:t>
                  </w:r>
                </w:p>
              </w:tc>
              <w:tc>
                <w:tcPr>
                  <w:tcW w:w="799"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928"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762"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827"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746" w:type="dxa"/>
                  <w:tcBorders/>
                  <w:shd w:fill="auto" w:val="clear"/>
                  <w:tcMar>
                    <w:top w:w="60" w:type="dxa"/>
                    <w:left w:w="60" w:type="dxa"/>
                    <w:bottom w:w="60" w:type="dxa"/>
                    <w:right w:w="60" w:type="dxa"/>
                  </w:tcMar>
                </w:tcPr>
                <w:p>
                  <w:pPr>
                    <w:pStyle w:val="Normal"/>
                    <w:spacing w:before="0" w:after="0"/>
                    <w:jc w:val="center"/>
                    <w:rPr/>
                  </w:pPr>
                  <w:r>
                    <w:rPr>
                      <w:rFonts w:eastAsia="Times New Roman" w:cs="Times New Roman" w:ascii="Arial Narrow" w:hAnsi="Arial Narrow"/>
                      <w:sz w:val="14"/>
                      <w:szCs w:val="14"/>
                      <w:lang w:val="en-GB" w:eastAsia="en-GB"/>
                    </w:rPr>
                    <w:t>No</w:t>
                  </w:r>
                </w:p>
              </w:tc>
              <w:tc>
                <w:tcPr>
                  <w:tcW w:w="789"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r>
            <w:tr>
              <w:trPr/>
              <w:tc>
                <w:tcPr>
                  <w:tcW w:w="1057"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val="en-GB" w:eastAsia="en-GB"/>
                    </w:rPr>
                  </w:pPr>
                  <w:r>
                    <w:rPr>
                      <w:rFonts w:cs="Helvetica" w:ascii="Arial Narrow" w:hAnsi="Arial Narrow"/>
                      <w:color w:val="000000"/>
                      <w:sz w:val="14"/>
                      <w:szCs w:val="14"/>
                      <w:shd w:fill="EEEEEE" w:val="clear"/>
                    </w:rPr>
                    <w:t>Assessment criteria (weightage)</w:t>
                  </w:r>
                </w:p>
              </w:tc>
              <w:tc>
                <w:tcPr>
                  <w:tcW w:w="76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0,00</w:t>
                  </w:r>
                </w:p>
              </w:tc>
              <w:tc>
                <w:tcPr>
                  <w:tcW w:w="799"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92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762"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8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c>
                <w:tcPr>
                  <w:tcW w:w="74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t>0,00</w:t>
                  </w:r>
                </w:p>
              </w:tc>
              <w:tc>
                <w:tcPr>
                  <w:tcW w:w="789"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val="en-GB" w:eastAsia="en-GB"/>
                    </w:rPr>
                  </w:pPr>
                  <w:r>
                    <w:rPr>
                      <w:rFonts w:eastAsia="Times New Roman" w:cs="Times New Roman" w:ascii="Arial Narrow" w:hAnsi="Arial Narrow"/>
                      <w:sz w:val="14"/>
                      <w:szCs w:val="14"/>
                      <w:lang w:val="en-GB" w:eastAsia="en-GB"/>
                    </w:rPr>
                  </w:r>
                </w:p>
              </w:tc>
            </w:tr>
          </w:tbl>
          <w:p>
            <w:pPr>
              <w:pStyle w:val="Normal"/>
              <w:spacing w:before="0" w:after="0"/>
              <w:jc w:val="both"/>
              <w:rPr>
                <w:rFonts w:ascii="Arial Narrow" w:hAnsi="Arial Narrow"/>
                <w:sz w:val="18"/>
                <w:szCs w:val="18"/>
              </w:rPr>
            </w:pPr>
            <w:r>
              <w:rPr>
                <w:rFonts w:ascii="Arial Narrow" w:hAnsi="Arial Narrow"/>
                <w:sz w:val="18"/>
                <w:szCs w:val="18"/>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organisation and content</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 xml:space="preserve">Corporate social responsibility is one of the elements of company management. Every enterprise should therefore create its strategy in such a way as to reduce its impact on the natural environment and reduce social inequalities. </w:t>
            </w:r>
          </w:p>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The aim of the course is therefore to show participants various solutions to be used in the process of enterprise management to influence the indicators of fair and sustainable prosperity (BES) and indicators of social, economic and environmental well-being. Such a management approach is a key element in shaping the indicators to be assessed in health management, e.g. the European Commission, the Council, the European Economic and Social Committee, the Committee of the Regions and the Committee of the Regions: "Such a management approach is a key element in shaping the indicators to be assessed in health management, such as 'life expectancy at birth' and ‘hope of a healthy life’”.</w:t>
            </w:r>
          </w:p>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The requirements of the circular economy are closely linked to the creation of BES in companies and today's managers need to know the key elements of this approach in order to create new principles of corporate management.</w:t>
            </w:r>
          </w:p>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The course trains professionals able to move with particular skill and effectiveness within the regulatory guidelines, acquiring technical skills and using loans to achieve planned economic benefits, through the acquisition of specific skills related to the use of the BES and circular economy that participants will be able to use both in the company and in the consulting reality.</w:t>
            </w:r>
          </w:p>
          <w:p>
            <w:pPr>
              <w:pStyle w:val="Normal"/>
              <w:spacing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A strategy for smart, inclusive and sustainable growth in EU 2020</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Sustainable Development</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Biodiversity/ Environment</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Natural ecosystem</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Circular Economy</w:t>
            </w:r>
          </w:p>
          <w:p>
            <w:pPr>
              <w:pStyle w:val="ListParagraph"/>
              <w:numPr>
                <w:ilvl w:val="0"/>
                <w:numId w:val="1"/>
              </w:numPr>
              <w:spacing w:lineRule="auto" w:line="240" w:before="0" w:after="0"/>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rPr>
              <w:t>Green Technologies</w:t>
            </w:r>
          </w:p>
          <w:p>
            <w:pPr>
              <w:pStyle w:val="Normal"/>
              <w:spacing w:before="0" w:after="0"/>
              <w:jc w:val="both"/>
              <w:rPr>
                <w:rFonts w:ascii="Arial Narrow" w:hAnsi="Arial Narrow"/>
                <w:sz w:val="18"/>
                <w:szCs w:val="18"/>
              </w:rPr>
            </w:pPr>
            <w:r>
              <w:rPr>
                <w:rFonts w:ascii="Arial Narrow" w:hAnsi="Arial Narrow"/>
                <w:sz w:val="18"/>
                <w:szCs w:val="18"/>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Style w:val="Tlidtranslation"/>
                <w:rFonts w:eastAsia="Times New Roman" w:cs="Times New Roman"/>
              </w:rPr>
            </w:pPr>
            <w:r>
              <w:rPr>
                <w:rFonts w:cs="Helvetica" w:ascii="Arial Narrow" w:hAnsi="Arial Narrow"/>
                <w:b/>
                <w:bCs/>
                <w:iCs/>
                <w:color w:val="000000"/>
                <w:sz w:val="18"/>
                <w:szCs w:val="18"/>
                <w:lang w:val="en-GB"/>
              </w:rPr>
              <w:t>Learning outcomes</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lang w:val="en-GB"/>
              </w:rPr>
              <w:t>PhD student after completing the course can:</w:t>
            </w:r>
          </w:p>
          <w:p>
            <w:pPr>
              <w:pStyle w:val="Normal"/>
              <w:spacing w:lineRule="auto" w:line="240"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lang w:val="en-GB"/>
              </w:rPr>
              <w:t>1. list and explain the assumptions of the equitable and sustainable well-being indices (BES) and economic-social, economic and enviromental wellbeing indexes,</w:t>
            </w:r>
          </w:p>
          <w:p>
            <w:pPr>
              <w:pStyle w:val="Normal"/>
              <w:spacing w:lineRule="auto" w:line="240"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lang w:val="en-GB"/>
              </w:rPr>
              <w:t>2. explain the role of the BES in achieving sustainable production and consumption models,</w:t>
            </w:r>
          </w:p>
          <w:p>
            <w:pPr>
              <w:pStyle w:val="Normal"/>
              <w:spacing w:lineRule="auto" w:line="240"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lang w:val="en-GB"/>
              </w:rPr>
              <w:t>3. adjust BES in business models to the specificy of the selected industries,</w:t>
            </w:r>
          </w:p>
          <w:p>
            <w:pPr>
              <w:pStyle w:val="Normal"/>
              <w:spacing w:lineRule="auto" w:line="240" w:before="0" w:after="0"/>
              <w:jc w:val="both"/>
              <w:rPr>
                <w:rStyle w:val="Tlidtranslation"/>
                <w:rFonts w:ascii="Arial Narrow" w:hAnsi="Arial Narrow" w:eastAsia="Times New Roman" w:cs="Times New Roman"/>
                <w:sz w:val="18"/>
                <w:szCs w:val="18"/>
              </w:rPr>
            </w:pPr>
            <w:r>
              <w:rPr>
                <w:rStyle w:val="Tlidtranslation"/>
                <w:rFonts w:eastAsia="Times New Roman" w:cs="Times New Roman" w:ascii="Arial Narrow" w:hAnsi="Arial Narrow"/>
                <w:sz w:val="18"/>
                <w:szCs w:val="18"/>
                <w:lang w:val="en-GB"/>
              </w:rPr>
              <w:t>4. able to work in: companies, social cooperatives, associations and foundations, service companies in the fields of the environment and economic development, training institutions, research and consulting centers, building skills on social responsibility strategies, on communication for sustainability, green marketing, sustainability training, consulting on environmental policies, international cooperation and development, sustainable production.</w:t>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Assessment methods</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Verification methods of learning outcomes</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Effect 1-3 - written test, participation of the Oxford debate</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 xml:space="preserve">Learning outcome 3-4 - preparation and presentation of the </w:t>
            </w:r>
            <w:r>
              <w:rPr>
                <w:rFonts w:cs="Helvetica" w:ascii="Arial Narrow" w:hAnsi="Arial Narrow"/>
                <w:bCs/>
                <w:color w:val="000000"/>
                <w:sz w:val="18"/>
                <w:szCs w:val="18"/>
                <w:lang w:val="en-GB"/>
              </w:rPr>
              <w:t>tutorial</w:t>
            </w:r>
            <w:r>
              <w:rPr>
                <w:rFonts w:ascii="Arial Narrow" w:hAnsi="Arial Narrow"/>
                <w:sz w:val="18"/>
                <w:szCs w:val="18"/>
                <w:lang w:val="en-GB"/>
              </w:rPr>
              <w:t xml:space="preserve"> task</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The final grade consists of:</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The result of the written test - 20%</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Preparation and participation in the Oxford debate 40%</w:t>
            </w:r>
          </w:p>
          <w:p>
            <w:pPr>
              <w:pStyle w:val="Normal"/>
              <w:spacing w:lineRule="auto" w:line="240" w:before="0" w:after="0"/>
              <w:jc w:val="both"/>
              <w:rPr>
                <w:rFonts w:ascii="Arial Narrow" w:hAnsi="Arial Narrow" w:cs="Arial"/>
                <w:sz w:val="18"/>
                <w:szCs w:val="18"/>
              </w:rPr>
            </w:pPr>
            <w:r>
              <w:rPr>
                <w:rFonts w:ascii="Arial Narrow" w:hAnsi="Arial Narrow"/>
                <w:sz w:val="18"/>
                <w:szCs w:val="18"/>
                <w:lang w:val="en-GB"/>
              </w:rPr>
              <w:t xml:space="preserve">Preparation and presentation of the </w:t>
            </w:r>
            <w:r>
              <w:rPr>
                <w:rFonts w:cs="Helvetica" w:ascii="Arial Narrow" w:hAnsi="Arial Narrow"/>
                <w:bCs/>
                <w:color w:val="000000"/>
                <w:sz w:val="18"/>
                <w:szCs w:val="18"/>
                <w:lang w:val="en-GB"/>
              </w:rPr>
              <w:t>tutorial</w:t>
            </w:r>
            <w:r>
              <w:rPr>
                <w:rFonts w:ascii="Arial Narrow" w:hAnsi="Arial Narrow"/>
                <w:sz w:val="18"/>
                <w:szCs w:val="18"/>
                <w:lang w:val="en-GB"/>
              </w:rPr>
              <w:t xml:space="preserve"> task - 40%</w:t>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cs="Helvetica"/>
                <w:b/>
                <w:b/>
                <w:bCs/>
                <w:iCs/>
                <w:color w:val="000000"/>
                <w:sz w:val="18"/>
                <w:szCs w:val="18"/>
              </w:rPr>
            </w:pPr>
            <w:r>
              <w:rPr>
                <w:rFonts w:ascii="Arial Narrow" w:hAnsi="Arial Narrow"/>
                <w:b/>
                <w:sz w:val="18"/>
                <w:szCs w:val="18"/>
                <w:lang w:val="en-GB"/>
              </w:rPr>
              <w:t>Prerequisites</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Basic knowledge in the field of economy, sustainable development, natural ecosystem and industrial ecosystem</w:t>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Course content with delivery methods</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Style w:val="Tlidtranslation"/>
                <w:rFonts w:eastAsia="Times New Roman" w:cs="Times New Roman" w:ascii="Arial Narrow" w:hAnsi="Arial Narrow"/>
                <w:sz w:val="18"/>
                <w:szCs w:val="18"/>
                <w:lang w:val="en-GB"/>
              </w:rPr>
              <w:t>LECTURE</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The equitable and sustainable well-being indices (BES)</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BES in businessas' model </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Legal framwork for the implementation BES of the CE model in the European Union</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Building strategies on social responsibility and on communication for sustainability,</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The role of the circular economy in the implementation of BES in sustainable production and consumption models</w:t>
            </w:r>
          </w:p>
          <w:p>
            <w:pPr>
              <w:pStyle w:val="Normal"/>
              <w:spacing w:lineRule="auto" w:line="240" w:before="0" w:after="0"/>
              <w:rPr>
                <w:rFonts w:ascii="Arial Narrow" w:hAnsi="Arial Narrow"/>
                <w:sz w:val="18"/>
                <w:szCs w:val="18"/>
              </w:rPr>
            </w:pPr>
            <w:r>
              <w:rPr>
                <w:rFonts w:ascii="Arial Narrow" w:hAnsi="Arial Narrow"/>
                <w:sz w:val="18"/>
                <w:szCs w:val="18"/>
                <w:lang w:val="en-GB"/>
              </w:rPr>
              <w:t>Prevention of negative environmental externalities and to the realization of new social and territorial value.</w:t>
            </w:r>
          </w:p>
          <w:p>
            <w:pPr>
              <w:pStyle w:val="Normal"/>
              <w:spacing w:lineRule="auto" w:line="240" w:before="0" w:after="0"/>
              <w:rPr>
                <w:rFonts w:ascii="Arial Narrow" w:hAnsi="Arial Narrow"/>
                <w:sz w:val="18"/>
                <w:szCs w:val="18"/>
                <w:lang w:val="en-GB"/>
              </w:rPr>
            </w:pPr>
            <w:r>
              <w:rPr>
                <w:rFonts w:ascii="Arial Narrow" w:hAnsi="Arial Narrow"/>
                <w:sz w:val="18"/>
                <w:szCs w:val="18"/>
                <w:lang w:val="en-GB"/>
              </w:rPr>
            </w:r>
          </w:p>
          <w:p>
            <w:pPr>
              <w:pStyle w:val="Normal"/>
              <w:spacing w:lineRule="auto" w:line="240" w:before="0" w:after="0"/>
              <w:rPr>
                <w:rFonts w:ascii="Arial Narrow" w:hAnsi="Arial Narrow"/>
                <w:sz w:val="18"/>
                <w:szCs w:val="18"/>
              </w:rPr>
            </w:pPr>
            <w:r>
              <w:rPr>
                <w:rFonts w:ascii="Arial Narrow" w:hAnsi="Arial Narrow"/>
                <w:sz w:val="18"/>
                <w:szCs w:val="18"/>
                <w:lang w:val="en-GB"/>
              </w:rPr>
              <w:t>TUTORIALS</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Find and present good practices of the BES in the regional ecosystem with circular business models in selected sectors</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Propose a circular business model with BES for a selected sector or a selected enterprise</w:t>
            </w:r>
          </w:p>
          <w:p>
            <w:pPr>
              <w:pStyle w:val="Normal"/>
              <w:spacing w:lineRule="auto" w:line="240" w:before="0" w:after="0"/>
              <w:rPr>
                <w:rFonts w:ascii="Arial Narrow" w:hAnsi="Arial Narrow"/>
                <w:sz w:val="18"/>
                <w:szCs w:val="18"/>
              </w:rPr>
            </w:pPr>
            <w:r>
              <w:rPr>
                <w:rFonts w:ascii="Arial Narrow" w:hAnsi="Arial Narrow"/>
                <w:sz w:val="18"/>
                <w:szCs w:val="18"/>
                <w:lang w:val="en-GB"/>
              </w:rPr>
              <w:t xml:space="preserve">• </w:t>
            </w:r>
            <w:r>
              <w:rPr>
                <w:rFonts w:ascii="Arial Narrow" w:hAnsi="Arial Narrow"/>
                <w:sz w:val="18"/>
                <w:szCs w:val="18"/>
                <w:lang w:val="en-GB"/>
              </w:rPr>
              <w:t>Present the results</w:t>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Basic reference materials</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lineRule="auto" w:line="240" w:before="0" w:after="0"/>
              <w:rPr/>
            </w:pPr>
            <w:r>
              <w:rPr>
                <w:rStyle w:val="Tlidtranslation"/>
                <w:rFonts w:eastAsia="Times New Roman" w:ascii="Arial Narrow" w:hAnsi="Arial Narrow"/>
                <w:sz w:val="18"/>
                <w:szCs w:val="18"/>
              </w:rPr>
              <w:t xml:space="preserve">ADEME, Food Losses and Waste: Inventory and Management at Each Stage in the Food Chain. Executive Summary, May 2016, </w:t>
            </w:r>
            <w:hyperlink r:id="rId4">
              <w:r>
                <w:rPr>
                  <w:rStyle w:val="Tlidtranslation"/>
                  <w:rFonts w:eastAsia="Times New Roman" w:ascii="Arial Narrow" w:hAnsi="Arial Narrow"/>
                  <w:sz w:val="18"/>
                  <w:szCs w:val="18"/>
                </w:rPr>
                <w:t>http://www.ademe.fr/en/node/169466</w:t>
              </w:r>
            </w:hyperlink>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Aile Silvija, EU Waste Target Review – State-Of-Play, presentation to the EU Platform Sub-group on food waste measurement meeting, Brussels, 31 March 2017, https:// ec.europa.eu/food/sites/food/files/safety/docs/fw_eu-platform_20170331_euwaste-target.pdf</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AA.VV. 2005: Ecosystems and Human Well-being: Scenarios, in: “Millennium Ecosystem Assessment”, Island Press, available on web:  http://www.millenniumassessment.org/documents/document.332.aspx.pdf.</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AA.VV., 2013, “Be in the Loop: Circular Economy &amp; Strategic Sustainable Development”, School of Engineering Blekinge Institute of Technology Karlskrona, Sweden</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Bakan I., Doğan İ. F. 2012: Competitiveness of The Industries Based on the Porter's Diamond Model: an Empirical Study, IJRRAS 11 (3), June 2012.</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Becattini G. (ed.) 1987: Mercato e forze locali. Il distretto industriale, Il Mulino, Bologna.</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Becattini G. (ed.) 1989: Modelli locali di sviluppo, Il Mulino, Bologna.</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Clark N., 2002. Innovation systems, institutional change and the new knowledge market: implications for Third World agricultural development. Economics of Innovation and New Technology, 11: 353-368.</w:t>
            </w:r>
          </w:p>
          <w:p>
            <w:pPr>
              <w:pStyle w:val="ListParagraph"/>
              <w:numPr>
                <w:ilvl w:val="0"/>
                <w:numId w:val="2"/>
              </w:numPr>
              <w:spacing w:lineRule="auto" w:line="240" w:before="0" w:after="0"/>
              <w:rPr/>
            </w:pPr>
            <w:r>
              <w:rPr>
                <w:rStyle w:val="Tlidtranslation"/>
                <w:rFonts w:eastAsia="Times New Roman" w:ascii="Arial Narrow" w:hAnsi="Arial Narrow"/>
                <w:sz w:val="18"/>
                <w:szCs w:val="18"/>
              </w:rPr>
              <w:t xml:space="preserve">European Commission, Report on the Implementation of the Circular Economy Action Plan (COM/2017/33), 26 January 2017, </w:t>
            </w:r>
            <w:hyperlink r:id="rId5">
              <w:r>
                <w:rPr>
                  <w:rStyle w:val="Tlidtranslation"/>
                  <w:rFonts w:eastAsia="Times New Roman" w:ascii="Arial Narrow" w:hAnsi="Arial Narrow"/>
                  <w:sz w:val="18"/>
                  <w:szCs w:val="18"/>
                </w:rPr>
                <w:t>http://eur-lex.europa.eu/legalcontent/en/TXT/?uri=celex:52017DC0033</w:t>
              </w:r>
            </w:hyperlink>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Food and Agriculture Organization (FAO), Food Wastage Footprint. Full-cost Accounting, 2014, http://www.fao.org/3/a-i3991e.pdf</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 xml:space="preserve">Food and Agriculture Organization (FAO), Food Wastage Footprint &amp; Climate Change, 2015, http://www.fao.org/3/a-bb144e.pdf </w:t>
            </w:r>
          </w:p>
          <w:p>
            <w:pPr>
              <w:pStyle w:val="ListParagraph"/>
              <w:numPr>
                <w:ilvl w:val="0"/>
                <w:numId w:val="2"/>
              </w:numPr>
              <w:spacing w:lineRule="auto" w:line="240" w:before="0" w:after="0"/>
              <w:rPr>
                <w:rStyle w:val="Tlidtranslation"/>
                <w:rFonts w:ascii="Arial Narrow" w:hAnsi="Arial Narrow" w:eastAsia="Times New Roman"/>
                <w:sz w:val="18"/>
                <w:szCs w:val="18"/>
              </w:rPr>
            </w:pPr>
            <w:r>
              <w:rPr>
                <w:rStyle w:val="Tlidtranslation"/>
                <w:rFonts w:eastAsia="Times New Roman" w:ascii="Arial Narrow" w:hAnsi="Arial Narrow"/>
                <w:sz w:val="18"/>
                <w:szCs w:val="18"/>
              </w:rPr>
              <w:t xml:space="preserve">Food Waste data set for EU-28 – New estimates and Environmental Impact, October 2015, </w:t>
            </w:r>
          </w:p>
          <w:p>
            <w:pPr>
              <w:pStyle w:val="Normal"/>
              <w:spacing w:before="0" w:after="0"/>
              <w:jc w:val="both"/>
              <w:rPr>
                <w:rFonts w:ascii="Arial Narrow" w:hAnsi="Arial Narrow"/>
                <w:sz w:val="18"/>
                <w:szCs w:val="18"/>
              </w:rPr>
            </w:pPr>
            <w:r>
              <w:rPr>
                <w:rFonts w:ascii="Arial Narrow" w:hAnsi="Arial Narrow"/>
                <w:sz w:val="18"/>
                <w:szCs w:val="18"/>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Other reference materials</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Average student workload outside classroom</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20h</w:t>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Comments</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Last update</w:t>
            </w:r>
          </w:p>
        </w:tc>
        <w:tc>
          <w:tcPr>
            <w:tcW w:w="6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4d5f"/>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lidtranslation" w:customStyle="1">
    <w:name w:val="tlid-translation"/>
    <w:basedOn w:val="DefaultParagraphFont"/>
    <w:qFormat/>
    <w:rsid w:val="0023263a"/>
    <w:rPr/>
  </w:style>
  <w:style w:type="character" w:styleId="Czeinternetowe">
    <w:name w:val="Łącze internetowe"/>
    <w:basedOn w:val="DefaultParagraphFont"/>
    <w:uiPriority w:val="99"/>
    <w:unhideWhenUsed/>
    <w:rsid w:val="00484df0"/>
    <w:rPr>
      <w:color w:val="0563C1" w:themeColor="hyperlink"/>
      <w:u w:val="single"/>
    </w:rPr>
  </w:style>
  <w:style w:type="character" w:styleId="Annotationreference">
    <w:name w:val="annotation reference"/>
    <w:basedOn w:val="DefaultParagraphFont"/>
    <w:uiPriority w:val="99"/>
    <w:semiHidden/>
    <w:unhideWhenUsed/>
    <w:qFormat/>
    <w:rsid w:val="00675072"/>
    <w:rPr>
      <w:sz w:val="16"/>
      <w:szCs w:val="16"/>
    </w:rPr>
  </w:style>
  <w:style w:type="character" w:styleId="TekstkomentarzaZnak" w:customStyle="1">
    <w:name w:val="Tekst komentarza Znak"/>
    <w:basedOn w:val="DefaultParagraphFont"/>
    <w:link w:val="Tekstkomentarza"/>
    <w:uiPriority w:val="99"/>
    <w:semiHidden/>
    <w:qFormat/>
    <w:rsid w:val="00675072"/>
    <w:rPr>
      <w:sz w:val="20"/>
      <w:szCs w:val="20"/>
    </w:rPr>
  </w:style>
  <w:style w:type="character" w:styleId="TematkomentarzaZnak" w:customStyle="1">
    <w:name w:val="Temat komentarza Znak"/>
    <w:basedOn w:val="TekstkomentarzaZnak"/>
    <w:link w:val="Tematkomentarza"/>
    <w:uiPriority w:val="99"/>
    <w:semiHidden/>
    <w:qFormat/>
    <w:rsid w:val="00675072"/>
    <w:rPr>
      <w:b/>
      <w:bCs/>
      <w:sz w:val="20"/>
      <w:szCs w:val="20"/>
    </w:rPr>
  </w:style>
  <w:style w:type="character" w:styleId="TekstdymkaZnak" w:customStyle="1">
    <w:name w:val="Tekst dymka Znak"/>
    <w:basedOn w:val="DefaultParagraphFont"/>
    <w:link w:val="Tekstdymka"/>
    <w:uiPriority w:val="99"/>
    <w:semiHidden/>
    <w:qFormat/>
    <w:rsid w:val="00675072"/>
    <w:rPr>
      <w:rFonts w:ascii="Times New Roman" w:hAnsi="Times New Roman" w:cs="Times New Roman"/>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915d1"/>
    <w:pPr>
      <w:spacing w:lineRule="auto" w:line="276" w:before="0" w:after="200"/>
      <w:ind w:left="720" w:hanging="0"/>
      <w:contextualSpacing/>
    </w:pPr>
    <w:rPr>
      <w:lang w:val="it-IT"/>
    </w:rPr>
  </w:style>
  <w:style w:type="paragraph" w:styleId="Default" w:customStyle="1">
    <w:name w:val="Default"/>
    <w:qFormat/>
    <w:rsid w:val="00484df0"/>
    <w:pPr>
      <w:widowControl/>
      <w:bidi w:val="0"/>
      <w:spacing w:lineRule="auto" w:line="240" w:before="0" w:after="0"/>
      <w:jc w:val="left"/>
    </w:pPr>
    <w:rPr>
      <w:rFonts w:ascii="Times New Roman" w:hAnsi="Times New Roman" w:eastAsia="" w:cs="Times New Roman" w:eastAsiaTheme="minorEastAsia"/>
      <w:color w:val="000000"/>
      <w:sz w:val="24"/>
      <w:szCs w:val="24"/>
      <w:lang w:val="it-IT" w:eastAsia="it-IT" w:bidi="ar-SA"/>
    </w:rPr>
  </w:style>
  <w:style w:type="paragraph" w:styleId="Annotationtext">
    <w:name w:val="annotation text"/>
    <w:basedOn w:val="Normal"/>
    <w:link w:val="TekstkomentarzaZnak"/>
    <w:uiPriority w:val="99"/>
    <w:semiHidden/>
    <w:unhideWhenUsed/>
    <w:qFormat/>
    <w:rsid w:val="00675072"/>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675072"/>
    <w:pPr/>
    <w:rPr>
      <w:b/>
      <w:bCs/>
    </w:rPr>
  </w:style>
  <w:style w:type="paragraph" w:styleId="BalloonText">
    <w:name w:val="Balloon Text"/>
    <w:basedOn w:val="Normal"/>
    <w:link w:val="TekstdymkaZnak"/>
    <w:uiPriority w:val="99"/>
    <w:semiHidden/>
    <w:unhideWhenUsed/>
    <w:qFormat/>
    <w:rsid w:val="00675072"/>
    <w:pPr>
      <w:spacing w:lineRule="auto" w:line="240" w:before="0" w:after="0"/>
    </w:pPr>
    <w:rPr>
      <w:rFonts w:ascii="Times New Roman" w:hAnsi="Times New Roman" w:cs="Times New Roman"/>
      <w:sz w:val="18"/>
      <w:szCs w:val="18"/>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1527a"/>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eme.fr/en/node/169466" TargetMode="External"/><Relationship Id="rId3" Type="http://schemas.openxmlformats.org/officeDocument/2006/relationships/hyperlink" Target="http://eur-lex.europa.eu/legalcontent/en/TXT/?uri=celex:52017DC0033" TargetMode="External"/><Relationship Id="rId4" Type="http://schemas.openxmlformats.org/officeDocument/2006/relationships/hyperlink" Target="http://www.ademe.fr/en/node/169466" TargetMode="External"/><Relationship Id="rId5" Type="http://schemas.openxmlformats.org/officeDocument/2006/relationships/hyperlink" Target="http://eur-lex.europa.eu/legalcontent/en/TXT/?uri=celex:52017DC0033"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LibreOffice/5.3.0.3$Windows_x86 LibreOffice_project/7074905676c47b82bbcfbea1aeefc84afe1c50e1</Application>
  <Pages>2</Pages>
  <Words>1498</Words>
  <Characters>9533</Characters>
  <CharactersWithSpaces>10848</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2019-04-11T13:11:00Z</dcterms:created>
  <dc:creator>pc</dc:creator>
  <dc:description/>
  <dc:language>pl-PL</dc:language>
  <cp:lastModifiedBy>marek.matejun@gmail.com</cp:lastModifiedBy>
  <dcterms:modified xsi:type="dcterms:W3CDTF">2019-04-24T16:32:00Z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