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288"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053"/>
      </w:tblGrid>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ST – kursy z zakresu umiejętności miękkich i transferowalnych  </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kursu</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en-US"/>
              </w:rPr>
            </w:pPr>
            <w:r>
              <w:rPr>
                <w:rFonts w:ascii="Arial Narrow" w:hAnsi="Arial Narrow"/>
                <w:sz w:val="18"/>
                <w:szCs w:val="18"/>
                <w:lang w:val="pl-PL"/>
              </w:rPr>
              <w:t>Methodology of Literature Review Research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Metodyka Badań Literaturowych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hab. inż. Magdalena Tokarska</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7053" w:type="dxa"/>
            <w:tcBorders/>
            <w:shd w:fill="auto" w:val="clear"/>
            <w:tcMar>
              <w:left w:w="108" w:type="dxa"/>
            </w:tcMar>
          </w:tcPr>
          <w:tbl>
            <w:tblPr>
              <w:tblW w:w="682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82"/>
              <w:gridCol w:w="785"/>
              <w:gridCol w:w="811"/>
              <w:gridCol w:w="936"/>
              <w:gridCol w:w="784"/>
              <w:gridCol w:w="833"/>
              <w:gridCol w:w="776"/>
              <w:gridCol w:w="813"/>
            </w:tblGrid>
            <w:tr>
              <w:trPr>
                <w:tblHeader w:val="true"/>
              </w:trPr>
              <w:tc>
                <w:tcPr>
                  <w:tcW w:w="108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8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Wykład</w:t>
                  </w:r>
                </w:p>
              </w:tc>
              <w:tc>
                <w:tcPr>
                  <w:tcW w:w="81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Ćwiczenia</w:t>
                  </w:r>
                </w:p>
              </w:tc>
              <w:tc>
                <w:tcPr>
                  <w:tcW w:w="93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Laboratorium</w:t>
                  </w:r>
                </w:p>
              </w:tc>
              <w:tc>
                <w:tcPr>
                  <w:tcW w:w="78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Projekt</w:t>
                  </w:r>
                </w:p>
              </w:tc>
              <w:tc>
                <w:tcPr>
                  <w:tcW w:w="833"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Seminarium</w:t>
                  </w:r>
                </w:p>
              </w:tc>
              <w:tc>
                <w:tcPr>
                  <w:tcW w:w="77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Inne</w:t>
                  </w:r>
                </w:p>
              </w:tc>
              <w:tc>
                <w:tcPr>
                  <w:tcW w:w="813"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val="pl-PL" w:eastAsia="en-GB"/>
                    </w:rPr>
                  </w:pPr>
                  <w:r>
                    <w:rPr>
                      <w:rFonts w:eastAsia="Times New Roman" w:cs="Times New Roman" w:ascii="Arial Narrow" w:hAnsi="Arial Narrow"/>
                      <w:b/>
                      <w:bCs/>
                      <w:sz w:val="14"/>
                      <w:szCs w:val="14"/>
                      <w:lang w:val="pl-PL" w:eastAsia="en-GB"/>
                    </w:rPr>
                    <w:t xml:space="preserve">Suma godzin </w:t>
                  </w:r>
                </w:p>
              </w:tc>
            </w:tr>
            <w:tr>
              <w:trPr/>
              <w:tc>
                <w:tcPr>
                  <w:tcW w:w="108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Godziny kontaktowe</w:t>
                  </w:r>
                </w:p>
              </w:tc>
              <w:tc>
                <w:tcPr>
                  <w:tcW w:w="78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15</w:t>
                  </w:r>
                </w:p>
              </w:tc>
              <w:tc>
                <w:tcPr>
                  <w:tcW w:w="81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0</w:t>
                  </w:r>
                </w:p>
              </w:tc>
              <w:tc>
                <w:tcPr>
                  <w:tcW w:w="93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0</w:t>
                  </w:r>
                </w:p>
              </w:tc>
              <w:tc>
                <w:tcPr>
                  <w:tcW w:w="78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0</w:t>
                  </w:r>
                </w:p>
              </w:tc>
              <w:tc>
                <w:tcPr>
                  <w:tcW w:w="833"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pl-PL" w:eastAsia="en-GB"/>
                    </w:rPr>
                  </w:pPr>
                  <w:r>
                    <w:rPr>
                      <w:rFonts w:eastAsia="Times New Roman" w:cs="Times New Roman" w:ascii="Arial Narrow" w:hAnsi="Arial Narrow"/>
                      <w:sz w:val="14"/>
                      <w:szCs w:val="14"/>
                      <w:lang w:val="pl-PL" w:eastAsia="en-GB"/>
                    </w:rPr>
                    <w:t>0</w:t>
                  </w:r>
                </w:p>
              </w:tc>
              <w:tc>
                <w:tcPr>
                  <w:tcW w:w="77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3"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8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8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1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3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33"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7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13"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8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8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3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8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33"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3"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kursu</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Celem przedmiotu jest dostarczenie studentom wiedzy dotyczącej metodyki systematycznego przeglądu literatury, o uwarunkowaniach badania literatury, o obowiązujących ustawowo i zwyczajowo wymaganiach oraz standardach dotyczących opracowania bibliografii, a także o ochronie własności intelektualnej. Wykłady obejmują następujące zagadnienia: Proces poznania naukowego. Prace naukowe. Rodzaje i formy publikacji. Zasady w pisarstwie. Literatura w zestawieniu bibliograficznym. Typy zestawień bibliograficznych. Rodzaje bibliografii. Zasady prezentacji informacji pochodzących z publikacji stanowiącej źródło. Zalecenia norm dotyczące sporządzania przypisów bibliograficznych. Metody efektywnego wyszukiwania informacji w źródłach elektronicznych. Ochrona własności intelektualnej.</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Written raport</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rHeight w:val="170"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2019-04-04</w:t>
            </w:r>
          </w:p>
        </w:tc>
      </w:tr>
    </w:tbl>
    <w:p>
      <w:pPr>
        <w:pStyle w:val="Normal"/>
        <w:rPr>
          <w:lang w:val="pl-PL"/>
        </w:rPr>
      </w:pPr>
      <w:r>
        <w:rPr>
          <w:lang w:val="pl-PL"/>
        </w:rPr>
      </w:r>
    </w:p>
    <w:tbl>
      <w:tblPr>
        <w:tblStyle w:val="Tabela-Siatka"/>
        <w:tblW w:w="9288"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053"/>
      </w:tblGrid>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Type and description</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ST</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Course name</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en-US"/>
              </w:rPr>
            </w:pPr>
            <w:r>
              <w:rPr>
                <w:rFonts w:ascii="Arial Narrow" w:hAnsi="Arial Narrow"/>
                <w:sz w:val="18"/>
                <w:szCs w:val="18"/>
                <w:lang w:val="pl-PL"/>
              </w:rPr>
              <w:t>Methodology of Literat</w:t>
            </w:r>
            <w:r>
              <w:rPr>
                <w:rFonts w:ascii="Arial Narrow" w:hAnsi="Arial Narrow"/>
                <w:sz w:val="18"/>
                <w:szCs w:val="18"/>
                <w:lang w:val="en-US"/>
              </w:rPr>
              <w:t>ure Review Research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pl-PL"/>
              </w:rPr>
              <w:t>Metodyka Badań Literaturowych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hab. inż. Magdalena Tokarska</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7053" w:type="dxa"/>
            <w:tcBorders/>
            <w:shd w:fill="auto" w:val="clear"/>
            <w:tcMar>
              <w:left w:w="108"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pl-PL"/>
                    </w:rPr>
                  </w:pPr>
                  <w:r>
                    <w:rPr>
                      <w:rFonts w:cs="Helvetica" w:ascii="Arial Narrow" w:hAnsi="Arial Narrow"/>
                      <w:b/>
                      <w:bCs/>
                      <w:color w:val="000000"/>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color w:val="000000"/>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Arial Narrow" w:hAnsi="Arial Narrow"/>
                <w:sz w:val="18"/>
                <w:szCs w:val="18"/>
                <w:lang w:val="en-US"/>
              </w:rPr>
            </w:pPr>
            <w:r>
              <w:rPr>
                <w:rFonts w:ascii="Arial Narrow" w:hAnsi="Arial Narrow"/>
                <w:sz w:val="18"/>
                <w:szCs w:val="18"/>
                <w:lang w:val="en-US"/>
              </w:rPr>
              <w:t>The purpose of the course is to provide knowledge on the methodology of a systematic review of literature, conditions of literature review research, the statutory and customary requirements and standards for compiling bibliography, as well as knowledge about the protection of intellectual property. The lecture includes the following issues</w:t>
            </w:r>
            <w:bookmarkStart w:id="0" w:name="_GoBack"/>
            <w:bookmarkEnd w:id="0"/>
            <w:r>
              <w:rPr>
                <w:rFonts w:ascii="Arial Narrow" w:hAnsi="Arial Narrow"/>
                <w:sz w:val="18"/>
                <w:szCs w:val="18"/>
                <w:lang w:val="en-US"/>
              </w:rPr>
              <w:t xml:space="preserve">: </w:t>
            </w:r>
            <w:r>
              <w:rPr>
                <w:rFonts w:cs="Tahoma"/>
                <w:sz w:val="20"/>
                <w:szCs w:val="20"/>
                <w:lang w:val="en-US"/>
              </w:rPr>
              <w:t xml:space="preserve">The </w:t>
            </w:r>
            <w:r>
              <w:rPr>
                <w:rFonts w:ascii="Arial Narrow" w:hAnsi="Arial Narrow"/>
                <w:sz w:val="18"/>
                <w:szCs w:val="18"/>
                <w:lang w:val="en-US"/>
              </w:rPr>
              <w:t>process of scientific knowledge. The scientific works. Types and forms of publications. The rules in writing. Bibliographical literature. Types of bibliography. Types of bibliographic summaries. Rules for presentation of information from the publication of which is the source. Recommendations of standards for the preparation of bibliographic footnotes. Methods of effective searching information in electronic sources.</w:t>
            </w:r>
          </w:p>
          <w:p>
            <w:pPr>
              <w:pStyle w:val="Normal"/>
              <w:spacing w:lineRule="auto" w:line="240" w:before="0" w:after="0"/>
              <w:jc w:val="both"/>
              <w:rPr>
                <w:rFonts w:ascii="Arial Narrow" w:hAnsi="Arial Narrow"/>
                <w:sz w:val="18"/>
                <w:szCs w:val="18"/>
                <w:lang w:val="en-US"/>
              </w:rPr>
            </w:pPr>
            <w:r>
              <w:rPr>
                <w:rFonts w:ascii="Arial Narrow" w:hAnsi="Arial Narrow"/>
                <w:sz w:val="18"/>
                <w:szCs w:val="18"/>
                <w:lang w:val="en-US"/>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pl-PL"/>
              </w:rPr>
              <w:t>Written raport</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rHeight w:val="269"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2019-04-04</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5d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55da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LibreOffice/5.3.0.3$Windows_x86 LibreOffice_project/7074905676c47b82bbcfbea1aeefc84afe1c50e1</Application>
  <Pages>1</Pages>
  <Words>350</Words>
  <Characters>2305</Characters>
  <CharactersWithSpaces>2574</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2019-04-04T06:36:00Z</dcterms:created>
  <dc:creator>pc</dc:creator>
  <dc:description/>
  <dc:language>pl-PL</dc:language>
  <cp:lastModifiedBy>Politechnika Łódzka</cp:lastModifiedBy>
  <dcterms:modified xsi:type="dcterms:W3CDTF">2019-04-04T07:54:00Z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