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Arial Narrow" w:hAnsi="Arial Narrow" w:cs="Arial"/>
          <w:sz w:val="18"/>
          <w:szCs w:val="18"/>
        </w:rPr>
      </w:pPr>
      <w:bookmarkStart w:id="0" w:name="_GoBack"/>
      <w:bookmarkStart w:id="1" w:name="_GoBack"/>
      <w:bookmarkEnd w:id="1"/>
      <w:r>
        <w:rPr>
          <w:rFonts w:cs="Arial" w:ascii="Arial Narrow" w:hAnsi="Arial Narrow"/>
          <w:sz w:val="18"/>
          <w:szCs w:val="18"/>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152"/>
        <w:gridCol w:w="6909"/>
      </w:tblGrid>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code</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CC5</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Type and description</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eastAsia="Calibri" w:cs="Times New Roman" w:ascii="Times New Roman" w:hAnsi="Times New Roman"/>
                <w:sz w:val="18"/>
                <w:szCs w:val="18"/>
                <w:lang w:val="en-US"/>
              </w:rPr>
              <w:t>CC5 - core curriculum for food technology and nutrition</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ECTS credit</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1</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name</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bookmarkStart w:id="2" w:name="__DdeLink__244_2259118863"/>
            <w:bookmarkEnd w:id="2"/>
            <w:r>
              <w:rPr>
                <w:rFonts w:cs="Times New Roman" w:ascii="Times New Roman" w:hAnsi="Times New Roman"/>
                <w:sz w:val="18"/>
                <w:szCs w:val="18"/>
                <w:lang w:val="en-GB"/>
              </w:rPr>
              <w:t>Modern Trends In Food Technology II</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name in Polish</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cs="Times New Roman" w:ascii="Times New Roman" w:hAnsi="Times New Roman"/>
                <w:sz w:val="18"/>
                <w:szCs w:val="18"/>
                <w:lang w:val="pl-PL"/>
              </w:rPr>
              <w:t>Nowoczesne trendy w technologii żywności II</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Language of instruction</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English</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level</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8 PRK</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 xml:space="preserve">Course coordinator </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t>Dr hab. inż. Grażyna Budryn, prof. PŁ</w:t>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instructors</w:t>
            </w:r>
          </w:p>
        </w:tc>
        <w:tc>
          <w:tcPr>
            <w:tcW w:w="6909" w:type="dx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GB"/>
              </w:rPr>
            </w:pPr>
            <w:r>
              <w:rPr>
                <w:rFonts w:eastAsia="Calibri" w:cs="Times New Roman" w:ascii="Times New Roman" w:hAnsi="Times New Roman"/>
                <w:sz w:val="18"/>
                <w:szCs w:val="18"/>
                <w:lang w:val="en-GB"/>
              </w:rPr>
            </w:r>
          </w:p>
        </w:tc>
      </w:tr>
      <w:tr>
        <w:trPr/>
        <w:tc>
          <w:tcPr>
            <w:tcW w:w="2152" w:type="dx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bCs/>
                <w:iCs/>
                <w:color w:val="000000"/>
                <w:sz w:val="18"/>
                <w:szCs w:val="18"/>
                <w:lang w:val="en-GB"/>
              </w:rPr>
              <w:t>Delivery methods and course duration</w:t>
            </w:r>
          </w:p>
        </w:tc>
        <w:tc>
          <w:tcPr>
            <w:tcW w:w="6909" w:type="dxa"/>
            <w:tcBorders/>
            <w:shd w:fill="auto" w:val="clear"/>
            <w:tcMar>
              <w:left w:w="108" w:type="dxa"/>
            </w:tcMar>
          </w:tcPr>
          <w:tbl>
            <w:tblPr>
              <w:tblW w:w="6678" w:type="dxa"/>
              <w:jc w:val="left"/>
              <w:tblInd w:w="0" w:type="dxa"/>
              <w:tblBorders>
                <w:top w:val="single" w:sz="6" w:space="0" w:color="666666"/>
                <w:left w:val="single" w:sz="6" w:space="0" w:color="666666"/>
              </w:tblBorders>
              <w:tblCellMar>
                <w:top w:w="30" w:type="dxa"/>
                <w:left w:w="22" w:type="dxa"/>
                <w:bottom w:w="30" w:type="dxa"/>
                <w:right w:w="30" w:type="dxa"/>
              </w:tblCellMar>
              <w:tblLook w:firstRow="1" w:noVBand="1" w:lastRow="0" w:firstColumn="1" w:lastColumn="0" w:noHBand="0" w:val="04a0"/>
            </w:tblPr>
            <w:tblGrid>
              <w:gridCol w:w="1055"/>
              <w:gridCol w:w="760"/>
              <w:gridCol w:w="797"/>
              <w:gridCol w:w="927"/>
              <w:gridCol w:w="758"/>
              <w:gridCol w:w="825"/>
              <w:gridCol w:w="741"/>
              <w:gridCol w:w="814"/>
            </w:tblGrid>
            <w:tr>
              <w:trPr>
                <w:tblHeader w:val="true"/>
              </w:trPr>
              <w:tc>
                <w:tcPr>
                  <w:tcW w:w="1055" w:type="dxa"/>
                  <w:tcBorders>
                    <w:top w:val="single" w:sz="6" w:space="0" w:color="666666"/>
                    <w:left w:val="single" w:sz="6" w:space="0" w:color="666666"/>
                  </w:tcBorders>
                  <w:shd w:color="auto" w:fill="CCCCCC" w:val="clear"/>
                  <w:tcMar>
                    <w:left w:w="22" w:type="dxa"/>
                  </w:tcMar>
                  <w:vAlign w:val="center"/>
                </w:tcPr>
                <w:p>
                  <w:pPr>
                    <w:pStyle w:val="Normal"/>
                    <w:spacing w:lineRule="auto" w:line="240" w:before="0" w:after="0"/>
                    <w:jc w:val="center"/>
                    <w:rPr>
                      <w:rFonts w:ascii="Times New Roman" w:hAnsi="Times New Roman" w:eastAsia="Times New Roman" w:cs="Times New Roman"/>
                      <w:b/>
                      <w:b/>
                      <w:bCs/>
                      <w:sz w:val="14"/>
                      <w:szCs w:val="18"/>
                      <w:lang w:val="en-GB" w:eastAsia="en-GB"/>
                    </w:rPr>
                  </w:pPr>
                  <w:r>
                    <w:rPr>
                      <w:rFonts w:eastAsia="Times New Roman" w:cs="Times New Roman" w:ascii="Times New Roman" w:hAnsi="Times New Roman"/>
                      <w:b/>
                      <w:bCs/>
                      <w:sz w:val="14"/>
                      <w:szCs w:val="18"/>
                      <w:lang w:val="en-GB" w:eastAsia="en-GB"/>
                    </w:rPr>
                  </w:r>
                </w:p>
              </w:tc>
              <w:tc>
                <w:tcPr>
                  <w:tcW w:w="760"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Lecture</w:t>
                  </w:r>
                </w:p>
              </w:tc>
              <w:tc>
                <w:tcPr>
                  <w:tcW w:w="79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Tutorials</w:t>
                  </w:r>
                </w:p>
              </w:tc>
              <w:tc>
                <w:tcPr>
                  <w:tcW w:w="927"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Laboratory</w:t>
                  </w:r>
                </w:p>
              </w:tc>
              <w:tc>
                <w:tcPr>
                  <w:tcW w:w="758"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Project</w:t>
                  </w:r>
                </w:p>
              </w:tc>
              <w:tc>
                <w:tcPr>
                  <w:tcW w:w="825"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Seminar</w:t>
                  </w:r>
                </w:p>
              </w:tc>
              <w:tc>
                <w:tcPr>
                  <w:tcW w:w="741" w:type="dxa"/>
                  <w:tcBorders>
                    <w:top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rPr>
                  </w:pPr>
                  <w:r>
                    <w:rPr>
                      <w:rFonts w:eastAsia="Calibri" w:cs="Times New Roman" w:ascii="Times New Roman" w:hAnsi="Times New Roman"/>
                      <w:b/>
                      <w:bCs/>
                      <w:color w:val="000000"/>
                      <w:sz w:val="14"/>
                      <w:szCs w:val="18"/>
                    </w:rPr>
                    <w:t>Other</w:t>
                  </w:r>
                </w:p>
              </w:tc>
              <w:tc>
                <w:tcPr>
                  <w:tcW w:w="814" w:type="dxa"/>
                  <w:tcBorders>
                    <w:top w:val="single" w:sz="6" w:space="0" w:color="666666"/>
                    <w:right w:val="single" w:sz="6" w:space="0" w:color="666666"/>
                    <w:insideV w:val="single" w:sz="6" w:space="0" w:color="666666"/>
                  </w:tcBorders>
                  <w:shd w:color="auto" w:fill="CCCCCC" w:val="clear"/>
                  <w:vAlign w:val="center"/>
                </w:tcPr>
                <w:p>
                  <w:pPr>
                    <w:pStyle w:val="Normal"/>
                    <w:spacing w:lineRule="auto" w:line="240" w:before="0" w:after="0"/>
                    <w:jc w:val="center"/>
                    <w:rPr>
                      <w:rFonts w:ascii="Times New Roman" w:hAnsi="Times New Roman" w:eastAsia="Calibri" w:cs="Times New Roman"/>
                      <w:b/>
                      <w:b/>
                      <w:bCs/>
                      <w:color w:val="000000"/>
                      <w:sz w:val="14"/>
                      <w:szCs w:val="18"/>
                      <w:lang w:val="en-US"/>
                    </w:rPr>
                  </w:pPr>
                  <w:r>
                    <w:rPr>
                      <w:rFonts w:eastAsia="Calibri" w:cs="Times New Roman" w:ascii="Times New Roman" w:hAnsi="Times New Roman"/>
                      <w:b/>
                      <w:bCs/>
                      <w:color w:val="000000"/>
                      <w:sz w:val="14"/>
                      <w:szCs w:val="18"/>
                      <w:lang w:val="en-US"/>
                    </w:rPr>
                    <w:t>Total of teaching hours during semester</w:t>
                  </w:r>
                </w:p>
              </w:tc>
            </w:tr>
            <w:tr>
              <w:trPr/>
              <w:tc>
                <w:tcPr>
                  <w:tcW w:w="1055" w:type="dxa"/>
                  <w:tcBorders>
                    <w:left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Contact hours</w:t>
                  </w:r>
                </w:p>
              </w:tc>
              <w:tc>
                <w:tcPr>
                  <w:tcW w:w="760"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5</w:t>
                  </w:r>
                </w:p>
              </w:tc>
              <w:tc>
                <w:tcPr>
                  <w:tcW w:w="79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10</w:t>
                  </w:r>
                </w:p>
              </w:tc>
              <w:tc>
                <w:tcPr>
                  <w:tcW w:w="758"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w:t>
                  </w:r>
                </w:p>
              </w:tc>
              <w:tc>
                <w:tcPr>
                  <w:tcW w:w="814" w:type="dxa"/>
                  <w:tcBorders>
                    <w:right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15</w:t>
                  </w:r>
                </w:p>
              </w:tc>
            </w:tr>
            <w:tr>
              <w:trPr/>
              <w:tc>
                <w:tcPr>
                  <w:tcW w:w="1055" w:type="dxa"/>
                  <w:tcBorders>
                    <w:left w:val="single" w:sz="6" w:space="0" w:color="666666"/>
                  </w:tcBorders>
                  <w:shd w:fill="auto"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E-learning</w:t>
                  </w:r>
                </w:p>
              </w:tc>
              <w:tc>
                <w:tcPr>
                  <w:tcW w:w="760" w:type="dxa"/>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No</w:t>
                  </w:r>
                </w:p>
              </w:tc>
              <w:tc>
                <w:tcPr>
                  <w:tcW w:w="79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927"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758"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825"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741" w:type="dxa"/>
                  <w:tcBorders/>
                  <w:shd w:fill="auto" w:val="clear"/>
                  <w:tcMar>
                    <w:top w:w="60" w:type="dxa"/>
                    <w:left w:w="60" w:type="dxa"/>
                    <w:bottom w:w="60" w:type="dxa"/>
                    <w:right w:w="60" w:type="dxa"/>
                  </w:tcMar>
                </w:tcPr>
                <w:p>
                  <w:pPr>
                    <w:pStyle w:val="Normal"/>
                    <w:spacing w:lineRule="auto" w:line="240" w:before="0" w:after="0"/>
                    <w:jc w:val="center"/>
                    <w:rPr>
                      <w:rFonts w:ascii="Times New Roman" w:hAnsi="Times New Roman" w:eastAsia="Calibri" w:cs="Times New Roman"/>
                      <w:sz w:val="14"/>
                      <w:szCs w:val="18"/>
                    </w:rPr>
                  </w:pPr>
                  <w:r>
                    <w:rPr>
                      <w:rFonts w:eastAsia="Times New Roman" w:cs="Times New Roman" w:ascii="Times New Roman" w:hAnsi="Times New Roman"/>
                      <w:sz w:val="14"/>
                      <w:szCs w:val="18"/>
                      <w:lang w:eastAsia="en-GB"/>
                    </w:rPr>
                    <w:t>No</w:t>
                  </w:r>
                </w:p>
              </w:tc>
              <w:tc>
                <w:tcPr>
                  <w:tcW w:w="814" w:type="dxa"/>
                  <w:tcBorders>
                    <w:right w:val="single" w:sz="6" w:space="0" w:color="666666"/>
                    <w:insideV w:val="single" w:sz="6" w:space="0" w:color="666666"/>
                  </w:tcBorders>
                  <w:shd w:fill="auto"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r>
              <w:trPr/>
              <w:tc>
                <w:tcPr>
                  <w:tcW w:w="1055" w:type="dxa"/>
                  <w:tcBorders>
                    <w:left w:val="single" w:sz="6" w:space="0" w:color="666666"/>
                    <w:bottom w:val="single" w:sz="6" w:space="0" w:color="666666"/>
                    <w:insideH w:val="single" w:sz="6" w:space="0" w:color="666666"/>
                  </w:tcBorders>
                  <w:shd w:color="auto" w:fill="EEEEEE" w:val="clear"/>
                  <w:tcMar>
                    <w:top w:w="60" w:type="dxa"/>
                    <w:left w:w="52" w:type="dxa"/>
                    <w:bottom w:w="60" w:type="dxa"/>
                    <w:right w:w="60" w:type="dxa"/>
                  </w:tcMar>
                  <w:vAlign w:val="center"/>
                </w:tcPr>
                <w:p>
                  <w:pPr>
                    <w:pStyle w:val="Normal"/>
                    <w:spacing w:lineRule="auto" w:line="240" w:before="0" w:after="0"/>
                    <w:rPr>
                      <w:rFonts w:ascii="Times New Roman" w:hAnsi="Times New Roman" w:eastAsia="Times New Roman" w:cs="Times New Roman"/>
                      <w:sz w:val="14"/>
                      <w:szCs w:val="18"/>
                      <w:lang w:eastAsia="en-GB"/>
                    </w:rPr>
                  </w:pPr>
                  <w:r>
                    <w:rPr>
                      <w:rFonts w:eastAsia="Calibri" w:cs="Times New Roman" w:ascii="Times New Roman" w:hAnsi="Times New Roman"/>
                      <w:color w:val="000000"/>
                      <w:sz w:val="14"/>
                      <w:szCs w:val="18"/>
                      <w:shd w:fill="EEEEEE" w:val="clear"/>
                    </w:rPr>
                    <w:t>Assessment criteria (weightage)</w:t>
                  </w:r>
                </w:p>
              </w:tc>
              <w:tc>
                <w:tcPr>
                  <w:tcW w:w="760"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60,00</w:t>
                  </w:r>
                </w:p>
              </w:tc>
              <w:tc>
                <w:tcPr>
                  <w:tcW w:w="79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927"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40,00</w:t>
                  </w:r>
                </w:p>
              </w:tc>
              <w:tc>
                <w:tcPr>
                  <w:tcW w:w="758"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825"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c>
                <w:tcPr>
                  <w:tcW w:w="741" w:type="dxa"/>
                  <w:tcBorders>
                    <w:bottom w:val="single" w:sz="6" w:space="0" w:color="666666"/>
                    <w:insideH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t>0,00</w:t>
                  </w:r>
                </w:p>
              </w:tc>
              <w:tc>
                <w:tcPr>
                  <w:tcW w:w="814" w:type="dxa"/>
                  <w:tcBorders>
                    <w:bottom w:val="single" w:sz="6" w:space="0" w:color="666666"/>
                    <w:right w:val="single" w:sz="6" w:space="0" w:color="666666"/>
                    <w:insideH w:val="single" w:sz="6" w:space="0" w:color="666666"/>
                    <w:insideV w:val="single" w:sz="6" w:space="0" w:color="666666"/>
                  </w:tcBorders>
                  <w:shd w:color="auto" w:fill="EEEEEE" w:val="clear"/>
                  <w:tcMar>
                    <w:top w:w="60" w:type="dxa"/>
                    <w:left w:w="60" w:type="dxa"/>
                    <w:bottom w:w="60" w:type="dxa"/>
                    <w:right w:w="60" w:type="dxa"/>
                  </w:tcMar>
                  <w:vAlign w:val="center"/>
                </w:tcPr>
                <w:p>
                  <w:pPr>
                    <w:pStyle w:val="Normal"/>
                    <w:spacing w:lineRule="auto" w:line="240" w:before="0" w:after="0"/>
                    <w:jc w:val="center"/>
                    <w:rPr>
                      <w:rFonts w:ascii="Times New Roman" w:hAnsi="Times New Roman" w:eastAsia="Times New Roman" w:cs="Times New Roman"/>
                      <w:sz w:val="14"/>
                      <w:szCs w:val="18"/>
                      <w:lang w:eastAsia="en-GB"/>
                    </w:rPr>
                  </w:pPr>
                  <w:r>
                    <w:rPr>
                      <w:rFonts w:eastAsia="Times New Roman" w:cs="Times New Roman" w:ascii="Times New Roman" w:hAnsi="Times New Roman"/>
                      <w:sz w:val="14"/>
                      <w:szCs w:val="18"/>
                      <w:lang w:eastAsia="en-GB"/>
                    </w:rPr>
                  </w:r>
                </w:p>
              </w:tc>
            </w:tr>
          </w:tbl>
          <w:p>
            <w:pPr>
              <w:pStyle w:val="Normal"/>
              <w:spacing w:before="0" w:after="0"/>
              <w:jc w:val="both"/>
              <w:rPr>
                <w:rFonts w:ascii="Times New Roman" w:hAnsi="Times New Roman" w:eastAsia="Calibri" w:cs="Times New Roman"/>
                <w:sz w:val="18"/>
                <w:szCs w:val="18"/>
                <w:lang w:val="pl-PL"/>
              </w:rPr>
            </w:pPr>
            <w:r>
              <w:rPr>
                <w:rFonts w:eastAsia="Calibri" w:cs="Times New Roman" w:ascii="Times New Roman" w:hAnsi="Times New Roman"/>
                <w:sz w:val="18"/>
                <w:szCs w:val="18"/>
                <w:lang w:val="pl-PL"/>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Course objective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cs="Times New Roman" w:ascii="Times New Roman" w:hAnsi="Times New Roman"/>
                <w:sz w:val="18"/>
                <w:szCs w:val="18"/>
                <w:lang w:val="en-GB"/>
              </w:rPr>
              <w:t>The aim of the course is to familiarize students with the latest trends on the food market, related to the production and distribution of food and the use of innovative processes.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Learning outcomes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0" w:after="0"/>
              <w:rPr>
                <w:rFonts w:ascii="Times New Roman" w:hAnsi="Times New Roman" w:cs="Times New Roman"/>
                <w:sz w:val="18"/>
                <w:szCs w:val="18"/>
              </w:rPr>
            </w:pPr>
            <w:r>
              <w:rPr>
                <w:rFonts w:cs="Times New Roman" w:ascii="Times New Roman" w:hAnsi="Times New Roman"/>
                <w:sz w:val="18"/>
                <w:szCs w:val="18"/>
                <w:lang w:val="en-GB"/>
              </w:rPr>
              <w:t>After completing the course the student can:</w:t>
            </w:r>
          </w:p>
          <w:p>
            <w:pPr>
              <w:pStyle w:val="ListParagraph"/>
              <w:numPr>
                <w:ilvl w:val="0"/>
                <w:numId w:val="1"/>
              </w:numPr>
              <w:spacing w:before="0" w:after="0"/>
              <w:contextualSpacing/>
              <w:rPr>
                <w:sz w:val="18"/>
                <w:szCs w:val="18"/>
              </w:rPr>
            </w:pPr>
            <w:r>
              <w:rPr>
                <w:sz w:val="18"/>
                <w:szCs w:val="18"/>
                <w:lang w:val="en-GB"/>
              </w:rPr>
              <w:t>Describe new technologies of processing, preservation and storage of food</w:t>
            </w:r>
          </w:p>
          <w:p>
            <w:pPr>
              <w:pStyle w:val="ListParagraph"/>
              <w:numPr>
                <w:ilvl w:val="0"/>
                <w:numId w:val="1"/>
              </w:numPr>
              <w:spacing w:before="0" w:after="0"/>
              <w:contextualSpacing/>
              <w:rPr>
                <w:sz w:val="18"/>
                <w:szCs w:val="18"/>
              </w:rPr>
            </w:pPr>
            <w:r>
              <w:rPr>
                <w:sz w:val="18"/>
                <w:szCs w:val="18"/>
                <w:lang w:val="en-GB"/>
              </w:rPr>
              <w:t>Define food adulteration and methods to detect adulteration</w:t>
            </w:r>
          </w:p>
          <w:p>
            <w:pPr>
              <w:pStyle w:val="ListParagraph"/>
              <w:numPr>
                <w:ilvl w:val="0"/>
                <w:numId w:val="1"/>
              </w:numPr>
              <w:spacing w:before="0" w:after="0"/>
              <w:contextualSpacing/>
              <w:jc w:val="both"/>
              <w:rPr>
                <w:rFonts w:eastAsia="Calibri"/>
                <w:sz w:val="18"/>
                <w:szCs w:val="18"/>
                <w:lang w:val="en-US"/>
              </w:rPr>
            </w:pPr>
            <w:r>
              <w:rPr>
                <w:sz w:val="18"/>
                <w:szCs w:val="18"/>
                <w:lang w:val="en-GB"/>
              </w:rPr>
              <w:t>Adjust the processing of food to the needs of the entrepreneur or consumer</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bCs/>
                <w:iCs/>
                <w:color w:val="000000"/>
                <w:sz w:val="18"/>
                <w:szCs w:val="18"/>
                <w:lang w:val="en-GB"/>
              </w:rPr>
              <w:t>Assessment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Learning outcomes 1-2: Written test of issues covering the content of the lecture.</w:t>
            </w:r>
          </w:p>
          <w:p>
            <w:pPr>
              <w:pStyle w:val="Normal"/>
              <w:spacing w:lineRule="auto" w:line="240" w:before="0" w:after="0"/>
              <w:rPr>
                <w:rStyle w:val="Tlidtranslation"/>
                <w:rFonts w:ascii="Times New Roman" w:hAnsi="Times New Roman" w:cs="Times New Roman"/>
                <w:sz w:val="18"/>
                <w:szCs w:val="18"/>
                <w:lang w:val="en-US"/>
              </w:rPr>
            </w:pPr>
            <w:r>
              <w:rPr>
                <w:rStyle w:val="Tlidtranslation"/>
                <w:rFonts w:cs="Times New Roman" w:ascii="Times New Roman" w:hAnsi="Times New Roman"/>
                <w:sz w:val="18"/>
                <w:szCs w:val="18"/>
                <w:lang w:val="en-US"/>
              </w:rPr>
              <w:t>The assessment criteria are: integration of knowledge, compatibility of answers with the subject of the question, use of the latest literature data, ability to justify the opinion.</w:t>
            </w:r>
          </w:p>
          <w:p>
            <w:pPr>
              <w:pStyle w:val="Normal"/>
              <w:spacing w:lineRule="auto" w:line="240" w:before="0" w:after="0"/>
              <w:rPr>
                <w:rFonts w:ascii="Times New Roman" w:hAnsi="Times New Roman" w:cs="Times New Roman"/>
                <w:sz w:val="18"/>
                <w:szCs w:val="18"/>
                <w:lang w:val="en-US"/>
              </w:rPr>
            </w:pPr>
            <w:r>
              <w:rPr>
                <w:rStyle w:val="Tlidtranslation"/>
                <w:rFonts w:cs="Times New Roman" w:ascii="Times New Roman" w:hAnsi="Times New Roman"/>
                <w:sz w:val="18"/>
                <w:szCs w:val="18"/>
                <w:lang w:val="en-US"/>
              </w:rPr>
              <w:t>The results of the test: 40%.</w:t>
            </w:r>
          </w:p>
          <w:p>
            <w:pPr>
              <w:pStyle w:val="Normal"/>
              <w:shd w:val="clear" w:color="auto" w:fill="FFFFFF"/>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Learning outcome 3: Completion of laboratory exercises and laboratory report.</w:t>
            </w:r>
          </w:p>
          <w:p>
            <w:pPr>
              <w:pStyle w:val="Normal"/>
              <w:shd w:val="clear" w:color="auto" w:fill="FFFFFF"/>
              <w:spacing w:lineRule="auto" w:line="240" w:before="0" w:after="0"/>
              <w:rPr>
                <w:rStyle w:val="Tlidtranslation"/>
                <w:rFonts w:ascii="Times New Roman" w:hAnsi="Times New Roman" w:cs="Times New Roman"/>
                <w:sz w:val="18"/>
                <w:szCs w:val="18"/>
                <w:lang w:val="en-US"/>
              </w:rPr>
            </w:pPr>
            <w:r>
              <w:rPr>
                <w:rStyle w:val="Tlidtranslation"/>
                <w:rFonts w:cs="Times New Roman" w:ascii="Times New Roman" w:hAnsi="Times New Roman"/>
                <w:sz w:val="18"/>
                <w:szCs w:val="18"/>
                <w:lang w:val="en-US"/>
              </w:rPr>
              <w:t>The assessment criteria are: active participation in laboratory classes, innovative approach and the use of knowledge acquired during lectures to complete the task, completeness of the report.</w:t>
            </w:r>
          </w:p>
          <w:p>
            <w:pPr>
              <w:pStyle w:val="Normal"/>
              <w:shd w:val="clear" w:color="auto" w:fill="FFFFFF"/>
              <w:spacing w:lineRule="auto" w:line="240" w:before="0" w:after="0"/>
              <w:rPr>
                <w:rFonts w:ascii="Times New Roman" w:hAnsi="Times New Roman" w:eastAsia="Calibri" w:cs="Times New Roman"/>
                <w:sz w:val="18"/>
                <w:szCs w:val="18"/>
                <w:lang w:val="en-US"/>
              </w:rPr>
            </w:pPr>
            <w:r>
              <w:rPr>
                <w:rFonts w:cs="Times New Roman" w:ascii="Times New Roman" w:hAnsi="Times New Roman"/>
                <w:sz w:val="18"/>
                <w:szCs w:val="18"/>
                <w:lang w:val="en-US"/>
              </w:rPr>
              <w:t>The assessment of the results of laboratory work and of the report: 60%.</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Prerequisites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cs="Times New Roman" w:ascii="Times New Roman" w:hAnsi="Times New Roman"/>
                <w:sz w:val="18"/>
                <w:szCs w:val="18"/>
                <w:lang w:val="en-US"/>
              </w:rPr>
              <w:t>Basics of knowledge in the field food processing</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bCs/>
                <w:iCs/>
                <w:color w:val="000000"/>
                <w:sz w:val="18"/>
                <w:szCs w:val="18"/>
                <w:lang w:val="en-GB"/>
              </w:rPr>
              <w:t>Course content with delivery methods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Lecture:</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1. Adulteration and authentication of food products</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2. New technologies of food processing and preservation</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Laboratory:</w:t>
            </w:r>
          </w:p>
          <w:p>
            <w:pPr>
              <w:pStyle w:val="Normal"/>
              <w:spacing w:lineRule="auto" w:line="240" w:before="0" w:after="0"/>
              <w:rPr>
                <w:rFonts w:ascii="Times New Roman" w:hAnsi="Times New Roman" w:cs="Times New Roman"/>
                <w:sz w:val="18"/>
                <w:szCs w:val="18"/>
              </w:rPr>
            </w:pPr>
            <w:r>
              <w:rPr>
                <w:rFonts w:cs="Times New Roman" w:ascii="Times New Roman" w:hAnsi="Times New Roman"/>
                <w:sz w:val="18"/>
                <w:szCs w:val="18"/>
                <w:lang w:val="en-GB"/>
              </w:rPr>
              <w:t>1. Innovative methods of food preservation</w:t>
            </w:r>
          </w:p>
          <w:p>
            <w:pPr>
              <w:pStyle w:val="Normal"/>
              <w:spacing w:lineRule="auto" w:line="240" w:before="0" w:after="0"/>
              <w:jc w:val="both"/>
              <w:rPr>
                <w:rFonts w:ascii="Times New Roman" w:hAnsi="Times New Roman" w:eastAsia="Calibri" w:cs="Times New Roman"/>
                <w:sz w:val="18"/>
                <w:szCs w:val="18"/>
              </w:rPr>
            </w:pPr>
            <w:r>
              <w:rPr>
                <w:rFonts w:cs="Times New Roman" w:ascii="Times New Roman" w:hAnsi="Times New Roman"/>
                <w:sz w:val="18"/>
                <w:szCs w:val="18"/>
                <w:lang w:val="en-GB"/>
              </w:rPr>
              <w:t>2. Preserving the high quality of food products using modern unit processes</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Basic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rPr>
              <w:t>1. Collective authorship edited by</w:t>
            </w:r>
            <w:r>
              <w:rPr>
                <w:rFonts w:cs="Times New Roman" w:ascii="Times New Roman" w:hAnsi="Times New Roman"/>
                <w:sz w:val="18"/>
                <w:szCs w:val="18"/>
                <w:lang w:val="en-US"/>
              </w:rPr>
              <w:t xml:space="preserve"> C. Leadley: "Innovation and Future Trends in Food Manufacturing and Supply Chain Technologies", Elsevier, 2016, Berlin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2. Collective authorshipedited by F. Contoer: "Advences in Dairy Products", Jonh Wiley &amp; Sons Ltd, 2018, New York</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 xml:space="preserve">3. Collective authorship edited by I. Aguilo-Aguayo, L. Plaza: "Innovative Technologies in Beverage Processing" John Wiley &amp; Sons Ltd, 2017, New York </w:t>
            </w:r>
          </w:p>
          <w:p>
            <w:pPr>
              <w:pStyle w:val="Normal"/>
              <w:spacing w:lineRule="auto" w:line="240" w:before="0" w:after="0"/>
              <w:rPr>
                <w:rFonts w:ascii="Times New Roman" w:hAnsi="Times New Roman" w:cs="Times New Roman"/>
                <w:sz w:val="18"/>
                <w:szCs w:val="18"/>
                <w:lang w:val="en-US"/>
              </w:rPr>
            </w:pPr>
            <w:r>
              <w:rPr>
                <w:rFonts w:cs="Times New Roman" w:ascii="Times New Roman" w:hAnsi="Times New Roman"/>
                <w:sz w:val="18"/>
                <w:szCs w:val="18"/>
                <w:lang w:val="en-US"/>
              </w:rPr>
              <w:t>4. Collective authorship edited by D. Ghosh, S. Das, D. Bagchi, R.B. Smarta: "Innovation in Healthy and Functional Foods" CRC Press, 2012, Booca Raton</w:t>
            </w:r>
          </w:p>
          <w:p>
            <w:pPr>
              <w:pStyle w:val="Normal"/>
              <w:spacing w:lineRule="auto" w:line="240" w:before="0" w:after="0"/>
              <w:jc w:val="both"/>
              <w:rPr>
                <w:rFonts w:ascii="Times New Roman" w:hAnsi="Times New Roman" w:eastAsia="Calibri" w:cs="Times New Roman"/>
                <w:sz w:val="18"/>
                <w:szCs w:val="18"/>
                <w:lang w:val="en-US"/>
              </w:rPr>
            </w:pPr>
            <w:r>
              <w:rPr>
                <w:rFonts w:cs="Times New Roman" w:ascii="Times New Roman" w:hAnsi="Times New Roman"/>
                <w:sz w:val="18"/>
                <w:szCs w:val="18"/>
                <w:lang w:val="en-US"/>
              </w:rPr>
              <w:t>5. Collective authorship edited by Ö. Tokuşoğlu: "Food By-Product Based Functional Food Powders" CRC Press, 2018</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Other reference materials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US"/>
              </w:rPr>
            </w:pPr>
            <w:r>
              <w:rPr>
                <w:rFonts w:cs="Times New Roman" w:ascii="Times New Roman" w:hAnsi="Times New Roman"/>
                <w:sz w:val="18"/>
                <w:szCs w:val="18"/>
                <w:lang w:val="en-US"/>
              </w:rPr>
              <w:t>Scientific articles from international journals in the field of food and nutrition science and technology</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Average student workload outside classroom</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rPr>
            </w:pPr>
            <w:r>
              <w:rPr>
                <w:rFonts w:eastAsia="Calibri" w:cs="Times New Roman" w:ascii="Times New Roman" w:hAnsi="Times New Roman"/>
                <w:sz w:val="18"/>
                <w:szCs w:val="18"/>
                <w:lang w:val="en-GB"/>
              </w:rPr>
              <w:t>15 h</w:t>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Comments</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GB"/>
              </w:rPr>
            </w:pPr>
            <w:r>
              <w:rPr>
                <w:rFonts w:eastAsia="Calibri" w:cs="Times New Roman" w:ascii="Times New Roman" w:hAnsi="Times New Roman"/>
                <w:sz w:val="18"/>
                <w:szCs w:val="18"/>
                <w:lang w:val="en-GB"/>
              </w:rPr>
            </w:r>
          </w:p>
        </w:tc>
      </w:tr>
      <w:tr>
        <w:trPr/>
        <w:tc>
          <w:tcPr>
            <w:tcW w:w="215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FFD966" w:val="clear"/>
            <w:tcMar>
              <w:left w:w="108" w:type="dxa"/>
            </w:tcMar>
          </w:tcPr>
          <w:p>
            <w:pPr>
              <w:pStyle w:val="Normal"/>
              <w:spacing w:lineRule="auto" w:line="240" w:before="0" w:after="0"/>
              <w:rPr>
                <w:rFonts w:ascii="Times New Roman" w:hAnsi="Times New Roman" w:eastAsia="Calibri" w:cs="Times New Roman"/>
                <w:b/>
                <w:b/>
                <w:sz w:val="18"/>
                <w:szCs w:val="18"/>
              </w:rPr>
            </w:pPr>
            <w:r>
              <w:rPr>
                <w:rFonts w:eastAsia="Calibri" w:cs="Times New Roman" w:ascii="Times New Roman" w:hAnsi="Times New Roman"/>
                <w:b/>
                <w:sz w:val="18"/>
                <w:szCs w:val="18"/>
                <w:lang w:val="en-GB"/>
              </w:rPr>
              <w:t>Last update</w:t>
            </w:r>
          </w:p>
        </w:tc>
        <w:tc>
          <w:tcPr>
            <w:tcW w:w="69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lineRule="auto" w:line="240" w:before="0" w:after="0"/>
              <w:jc w:val="both"/>
              <w:rPr>
                <w:rFonts w:ascii="Times New Roman" w:hAnsi="Times New Roman" w:eastAsia="Calibri" w:cs="Times New Roman"/>
                <w:sz w:val="18"/>
                <w:szCs w:val="18"/>
                <w:lang w:val="en-GB"/>
              </w:rPr>
            </w:pPr>
            <w:r>
              <w:rPr>
                <w:rFonts w:eastAsia="Calibri" w:cs="Times New Roman" w:ascii="Times New Roman" w:hAnsi="Times New Roman"/>
                <w:sz w:val="18"/>
                <w:szCs w:val="18"/>
                <w:lang w:val="en-GB"/>
              </w:rPr>
            </w:r>
          </w:p>
        </w:tc>
      </w:tr>
    </w:tbl>
    <w:p>
      <w:pPr>
        <w:pStyle w:val="Normal"/>
        <w:spacing w:lineRule="auto" w:line="240" w:before="0" w:after="0"/>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Times New Roman">
    <w:charset w:val="ee"/>
    <w:family w:val="roman"/>
    <w:pitch w:val="variable"/>
  </w:font>
  <w:font w:name="Arial Narrow">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pl-PL" w:eastAsia="en-US" w:bidi="ar-SA"/>
    </w:rPr>
  </w:style>
  <w:style w:type="character" w:styleId="DefaultParagraphFont" w:default="1">
    <w:name w:val="Default Paragraph Font"/>
    <w:uiPriority w:val="1"/>
    <w:semiHidden/>
    <w:unhideWhenUsed/>
    <w:qFormat/>
    <w:rPr/>
  </w:style>
  <w:style w:type="character" w:styleId="Tlidtranslation" w:customStyle="1">
    <w:name w:val="tlid-translation"/>
    <w:basedOn w:val="DefaultParagraphFont"/>
    <w:qFormat/>
    <w:rsid w:val="00257ca3"/>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257ca3"/>
    <w:pPr>
      <w:widowControl w:val="false"/>
      <w:spacing w:lineRule="auto" w:line="240" w:before="0" w:after="0"/>
      <w:ind w:left="720" w:hanging="0"/>
      <w:contextualSpacing/>
    </w:pPr>
    <w:rPr>
      <w:rFonts w:ascii="Times New Roman" w:hAnsi="Times New Roman" w:eastAsia="" w:cs="Times New Roman" w:eastAsiaTheme="minorEastAsia"/>
      <w:sz w:val="20"/>
      <w:szCs w:val="20"/>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59"/>
    <w:rsid w:val="000a7995"/>
    <w:pPr>
      <w:spacing w:after="0" w:line="240" w:lineRule="auto"/>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ArrayOfDocumentLink xmlns:xsi="http://www.w3.org/2001/XMLSchema-instance" xmlns:xsd="http://www.w3.org/2001/XMLSchema"/>
</file>

<file path=customXml/itemProps1.xml><?xml version="1.0" encoding="utf-8"?>
<ds:datastoreItem xmlns:ds="http://schemas.openxmlformats.org/officeDocument/2006/customXml" ds:itemID="{E6E5D232-F3C5-4274-AD51-4A1F2713133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Application>LibreOffice/5.3.0.3$Windows_x86 LibreOffice_project/7074905676c47b82bbcfbea1aeefc84afe1c50e1</Application>
  <Pages>1</Pages>
  <Words>446</Words>
  <Characters>2524</Characters>
  <CharactersWithSpaces>2894</CharactersWithSpaces>
  <Paragraphs>76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2019-04-06T18:02:00Z</dcterms:created>
  <dc:creator>ARBGB</dc:creator>
  <dc:description/>
  <dc:language>pl-PL</dc:language>
  <cp:lastModifiedBy>Małgorzata Kupczyńska</cp:lastModifiedBy>
  <dcterms:modified xsi:type="dcterms:W3CDTF">2019-05-27T09:47:00Z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