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2"/>
        <w:gridCol w:w="6909"/>
      </w:tblGrid>
      <w:tr>
        <w:trPr/>
        <w:tc>
          <w:tcPr>
            <w:tcW w:w="2152" w:type="dx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bookmarkStart w:id="0" w:name="_GoBack"/>
            <w:bookmarkEnd w:id="0"/>
            <w:r>
              <w:rPr>
                <w:rFonts w:eastAsia="Calibri" w:cs="Times New Roman" w:ascii="Times New Roman" w:hAnsi="Times New Roman"/>
                <w:b/>
                <w:sz w:val="18"/>
                <w:szCs w:val="18"/>
                <w:lang w:val="en-GB"/>
              </w:rPr>
              <w:t>Course code</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CC4</w:t>
            </w:r>
          </w:p>
        </w:tc>
      </w:tr>
      <w:tr>
        <w:trPr/>
        <w:tc>
          <w:tcPr>
            <w:tcW w:w="2152" w:type="dx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Type and description</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CC4 - core curriculum for food technology and nutrition</w:t>
            </w:r>
          </w:p>
        </w:tc>
      </w:tr>
      <w:tr>
        <w:trPr/>
        <w:tc>
          <w:tcPr>
            <w:tcW w:w="2152" w:type="dx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ECTS credit</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1</w:t>
            </w:r>
          </w:p>
        </w:tc>
      </w:tr>
      <w:tr>
        <w:trPr/>
        <w:tc>
          <w:tcPr>
            <w:tcW w:w="2152" w:type="dx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name</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rPr>
            </w:pPr>
            <w:bookmarkStart w:id="1" w:name="__DdeLink__270_3872845098"/>
            <w:bookmarkEnd w:id="1"/>
            <w:r>
              <w:rPr>
                <w:rFonts w:cs="Times New Roman" w:ascii="Times New Roman" w:hAnsi="Times New Roman"/>
                <w:sz w:val="18"/>
                <w:szCs w:val="18"/>
                <w:lang w:val="en-GB"/>
              </w:rPr>
              <w:t>Advances in fermented food and beverages I</w:t>
            </w:r>
          </w:p>
        </w:tc>
      </w:tr>
      <w:tr>
        <w:trPr/>
        <w:tc>
          <w:tcPr>
            <w:tcW w:w="2152" w:type="dx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name in Polish</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cs="Times New Roman" w:ascii="Times New Roman" w:hAnsi="Times New Roman"/>
                <w:sz w:val="18"/>
                <w:szCs w:val="18"/>
                <w:lang w:val="pl-PL"/>
              </w:rPr>
              <w:t>Postępy w technologii żywności i napojów fermentowanych I</w:t>
            </w:r>
          </w:p>
        </w:tc>
      </w:tr>
      <w:tr>
        <w:trPr/>
        <w:tc>
          <w:tcPr>
            <w:tcW w:w="2152" w:type="dx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Language of instruction</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English</w:t>
            </w:r>
          </w:p>
        </w:tc>
      </w:tr>
      <w:tr>
        <w:trPr/>
        <w:tc>
          <w:tcPr>
            <w:tcW w:w="2152" w:type="dx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level</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8 PRK</w:t>
            </w:r>
          </w:p>
        </w:tc>
      </w:tr>
      <w:tr>
        <w:trPr/>
        <w:tc>
          <w:tcPr>
            <w:tcW w:w="2152" w:type="dx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 xml:space="preserve">Course coordinator </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en-GB"/>
              </w:rPr>
              <w:t xml:space="preserve">Dr hab. inż. </w:t>
            </w:r>
            <w:r>
              <w:rPr>
                <w:rFonts w:cs="Times New Roman" w:ascii="Times New Roman" w:hAnsi="Times New Roman"/>
                <w:sz w:val="18"/>
                <w:szCs w:val="18"/>
                <w:lang w:val="en-GB"/>
              </w:rPr>
              <w:t>Edyta Kordialik-Bogacka</w:t>
            </w:r>
          </w:p>
        </w:tc>
      </w:tr>
      <w:tr>
        <w:trPr/>
        <w:tc>
          <w:tcPr>
            <w:tcW w:w="2152" w:type="dx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instructors</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cs="Times New Roman" w:ascii="Times New Roman" w:hAnsi="Times New Roman"/>
                <w:sz w:val="18"/>
                <w:szCs w:val="18"/>
                <w:lang w:val="en-GB"/>
              </w:rPr>
              <w:t>Dr hab. inż. Anna Diowksz, dr hab. inż. Katarzyna Śliżewska, prof. PŁ, dr inż. Agnieszka Wilkowska, dr inż. Urszula Dziekońska</w:t>
            </w:r>
          </w:p>
        </w:tc>
      </w:tr>
      <w:tr>
        <w:trPr/>
        <w:tc>
          <w:tcPr>
            <w:tcW w:w="2152" w:type="dx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bCs/>
                <w:iCs/>
                <w:color w:val="000000"/>
                <w:sz w:val="18"/>
                <w:szCs w:val="18"/>
                <w:lang w:val="en-GB"/>
              </w:rPr>
              <w:t>Delivery methods and course duration</w:t>
            </w:r>
          </w:p>
        </w:tc>
        <w:tc>
          <w:tcPr>
            <w:tcW w:w="6909" w:type="dxa"/>
            <w:tcBorders/>
            <w:shd w:fill="auto" w:val="clear"/>
            <w:tcMar>
              <w:left w:w="108" w:type="dxa"/>
            </w:tcMar>
          </w:tcPr>
          <w:tbl>
            <w:tblPr>
              <w:tblW w:w="6678"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5"/>
              <w:gridCol w:w="760"/>
              <w:gridCol w:w="797"/>
              <w:gridCol w:w="927"/>
              <w:gridCol w:w="758"/>
              <w:gridCol w:w="825"/>
              <w:gridCol w:w="741"/>
              <w:gridCol w:w="814"/>
            </w:tblGrid>
            <w:tr>
              <w:trPr>
                <w:tblHeader w:val="true"/>
              </w:trPr>
              <w:tc>
                <w:tcPr>
                  <w:tcW w:w="1055"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Times New Roman" w:hAnsi="Times New Roman" w:eastAsia="Times New Roman" w:cs="Times New Roman"/>
                      <w:b/>
                      <w:b/>
                      <w:bCs/>
                      <w:sz w:val="14"/>
                      <w:szCs w:val="18"/>
                      <w:lang w:val="en-GB" w:eastAsia="en-GB"/>
                    </w:rPr>
                  </w:pPr>
                  <w:r>
                    <w:rPr>
                      <w:rFonts w:eastAsia="Times New Roman" w:cs="Times New Roman" w:ascii="Times New Roman" w:hAnsi="Times New Roman"/>
                      <w:b/>
                      <w:bCs/>
                      <w:sz w:val="14"/>
                      <w:szCs w:val="18"/>
                      <w:lang w:val="en-GB" w:eastAsia="en-GB"/>
                    </w:rPr>
                  </w:r>
                </w:p>
              </w:tc>
              <w:tc>
                <w:tcPr>
                  <w:tcW w:w="760"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Lecture</w:t>
                  </w:r>
                </w:p>
              </w:tc>
              <w:tc>
                <w:tcPr>
                  <w:tcW w:w="79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Tutorials</w:t>
                  </w:r>
                </w:p>
              </w:tc>
              <w:tc>
                <w:tcPr>
                  <w:tcW w:w="92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Laboratory</w:t>
                  </w:r>
                </w:p>
              </w:tc>
              <w:tc>
                <w:tcPr>
                  <w:tcW w:w="758"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Project</w:t>
                  </w:r>
                </w:p>
              </w:tc>
              <w:tc>
                <w:tcPr>
                  <w:tcW w:w="825"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Seminar</w:t>
                  </w:r>
                </w:p>
              </w:tc>
              <w:tc>
                <w:tcPr>
                  <w:tcW w:w="741"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Other</w:t>
                  </w:r>
                </w:p>
              </w:tc>
              <w:tc>
                <w:tcPr>
                  <w:tcW w:w="814"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lang w:val="en-US"/>
                    </w:rPr>
                  </w:pPr>
                  <w:r>
                    <w:rPr>
                      <w:rFonts w:eastAsia="Calibri" w:cs="Times New Roman" w:ascii="Times New Roman" w:hAnsi="Times New Roman"/>
                      <w:b/>
                      <w:bCs/>
                      <w:color w:val="000000"/>
                      <w:sz w:val="14"/>
                      <w:szCs w:val="18"/>
                      <w:lang w:val="en-US"/>
                    </w:rPr>
                    <w:t>Total of teaching hours during semester</w:t>
                  </w:r>
                </w:p>
              </w:tc>
            </w:tr>
            <w:tr>
              <w:trPr/>
              <w:tc>
                <w:tcPr>
                  <w:tcW w:w="1055"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Contact hours</w:t>
                  </w:r>
                </w:p>
              </w:tc>
              <w:tc>
                <w:tcPr>
                  <w:tcW w:w="760"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5</w:t>
                  </w:r>
                </w:p>
              </w:tc>
              <w:tc>
                <w:tcPr>
                  <w:tcW w:w="79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10</w:t>
                  </w:r>
                </w:p>
              </w:tc>
              <w:tc>
                <w:tcPr>
                  <w:tcW w:w="75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w:t>
                  </w:r>
                </w:p>
              </w:tc>
              <w:tc>
                <w:tcPr>
                  <w:tcW w:w="814"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15</w:t>
                  </w:r>
                </w:p>
              </w:tc>
            </w:tr>
            <w:tr>
              <w:trPr/>
              <w:tc>
                <w:tcPr>
                  <w:tcW w:w="1055"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E-learning</w:t>
                  </w:r>
                </w:p>
              </w:tc>
              <w:tc>
                <w:tcPr>
                  <w:tcW w:w="760" w:type="dxa"/>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No</w:t>
                  </w:r>
                </w:p>
              </w:tc>
              <w:tc>
                <w:tcPr>
                  <w:tcW w:w="797" w:type="dxa"/>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927" w:type="dxa"/>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758" w:type="dxa"/>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825" w:type="dxa"/>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741" w:type="dxa"/>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814"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r>
              <w:trPr/>
              <w:tc>
                <w:tcPr>
                  <w:tcW w:w="1055"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Calibri" w:cs="Times New Roman" w:ascii="Times New Roman" w:hAnsi="Times New Roman"/>
                      <w:color w:val="000000"/>
                      <w:sz w:val="14"/>
                      <w:szCs w:val="18"/>
                      <w:shd w:fill="EEEEEE" w:val="clear"/>
                    </w:rPr>
                    <w:t>Assessment criteria (weightage)</w:t>
                  </w:r>
                </w:p>
              </w:tc>
              <w:tc>
                <w:tcPr>
                  <w:tcW w:w="760"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50,00</w:t>
                  </w:r>
                </w:p>
              </w:tc>
              <w:tc>
                <w:tcPr>
                  <w:tcW w:w="79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50,00</w:t>
                  </w:r>
                </w:p>
              </w:tc>
              <w:tc>
                <w:tcPr>
                  <w:tcW w:w="75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0,00</w:t>
                  </w:r>
                </w:p>
              </w:tc>
              <w:tc>
                <w:tcPr>
                  <w:tcW w:w="814"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bl>
          <w:p>
            <w:pPr>
              <w:pStyle w:val="Normal"/>
              <w:spacing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objective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 xml:space="preserve">The aim of the course is to familiarize PhD students with </w:t>
            </w:r>
            <w:r>
              <w:rPr>
                <w:rFonts w:cs="Times New Roman" w:ascii="Times New Roman" w:hAnsi="Times New Roman"/>
                <w:sz w:val="18"/>
                <w:szCs w:val="18"/>
              </w:rPr>
              <w:t>modern applications in fermentation technology, including baking, dairy and alcoholic beverages technologies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Learning outcomes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 xml:space="preserve">After completing the course, a PhD student is able to: </w:t>
            </w:r>
          </w:p>
          <w:p>
            <w:pPr>
              <w:pStyle w:val="ListParagraph"/>
              <w:numPr>
                <w:ilvl w:val="0"/>
                <w:numId w:val="1"/>
              </w:numPr>
              <w:spacing w:lineRule="auto" w:line="240" w:before="0" w:after="0"/>
              <w:contextualSpacing/>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 xml:space="preserve">list and describe innovative fermented products </w:t>
            </w:r>
          </w:p>
          <w:p>
            <w:pPr>
              <w:pStyle w:val="ListParagraph"/>
              <w:numPr>
                <w:ilvl w:val="0"/>
                <w:numId w:val="1"/>
              </w:numPr>
              <w:spacing w:lineRule="auto" w:line="240" w:before="0" w:after="0"/>
              <w:contextualSpacing/>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 xml:space="preserve">list novel raw materials and additives and explain their technological role </w:t>
            </w:r>
          </w:p>
          <w:p>
            <w:pPr>
              <w:pStyle w:val="ListParagraph"/>
              <w:numPr>
                <w:ilvl w:val="0"/>
                <w:numId w:val="1"/>
              </w:numPr>
              <w:spacing w:lineRule="auto" w:line="240" w:before="0" w:after="0"/>
              <w:contextualSpacing/>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 xml:space="preserve">describe potential modifications in technologies of fermented products </w:t>
            </w:r>
          </w:p>
          <w:p>
            <w:pPr>
              <w:pStyle w:val="ListParagraph"/>
              <w:numPr>
                <w:ilvl w:val="0"/>
                <w:numId w:val="1"/>
              </w:numPr>
              <w:spacing w:lineRule="auto" w:line="240" w:before="0" w:after="0"/>
              <w:contextualSpacing/>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select and apply the appropriate analytical techniques</w:t>
            </w:r>
          </w:p>
          <w:p>
            <w:pPr>
              <w:pStyle w:val="ListParagraph"/>
              <w:numPr>
                <w:ilvl w:val="0"/>
                <w:numId w:val="1"/>
              </w:numPr>
              <w:spacing w:lineRule="auto" w:line="240" w:before="0" w:after="0"/>
              <w:contextualSpacing/>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 xml:space="preserve">interpret and evaluate the results of analysis critically </w:t>
            </w:r>
          </w:p>
          <w:p>
            <w:pPr>
              <w:pStyle w:val="ListParagraph"/>
              <w:numPr>
                <w:ilvl w:val="0"/>
                <w:numId w:val="1"/>
              </w:numPr>
              <w:spacing w:lineRule="auto" w:line="240" w:before="0" w:after="0"/>
              <w:contextualSpacing/>
              <w:jc w:val="both"/>
              <w:rPr>
                <w:rFonts w:ascii="Times New Roman" w:hAnsi="Times New Roman" w:eastAsia="Calibri" w:cs="Times New Roman"/>
                <w:sz w:val="18"/>
                <w:szCs w:val="18"/>
                <w:lang w:val="en-US"/>
              </w:rPr>
            </w:pPr>
            <w:r>
              <w:rPr>
                <w:rFonts w:eastAsia="Times New Roman" w:cs="Times New Roman" w:ascii="Times New Roman" w:hAnsi="Times New Roman"/>
                <w:sz w:val="18"/>
                <w:szCs w:val="18"/>
                <w:lang w:eastAsia="pl-PL"/>
              </w:rPr>
              <w:t>organize work in a group, cooperate with members of the group, show responsibility for the entrusted range of studies, quality of own work</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bCs/>
                <w:iCs/>
                <w:color w:val="000000"/>
                <w:sz w:val="18"/>
                <w:szCs w:val="18"/>
                <w:lang w:val="en-GB"/>
              </w:rPr>
              <w:t>Assessment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eastAsia="Calibri" w:cs="Times New Roman" w:ascii="Times New Roman" w:hAnsi="Times New Roman"/>
                <w:sz w:val="18"/>
                <w:szCs w:val="18"/>
                <w:lang w:val="en-US"/>
              </w:rPr>
              <w:t xml:space="preserve">Learning outcomes </w:t>
            </w:r>
            <w:r>
              <w:rPr>
                <w:rFonts w:cs="Times New Roman" w:ascii="Times New Roman" w:hAnsi="Times New Roman"/>
                <w:sz w:val="18"/>
                <w:szCs w:val="18"/>
              </w:rPr>
              <w:t>1-3: written test.</w:t>
            </w:r>
          </w:p>
          <w:p>
            <w:pPr>
              <w:pStyle w:val="Normal"/>
              <w:spacing w:lineRule="auto" w:line="240" w:before="0" w:after="0"/>
              <w:jc w:val="both"/>
              <w:rPr>
                <w:rFonts w:ascii="Times New Roman" w:hAnsi="Times New Roman" w:cs="Times New Roman"/>
                <w:sz w:val="18"/>
                <w:szCs w:val="18"/>
              </w:rPr>
            </w:pPr>
            <w:r>
              <w:rPr>
                <w:rFonts w:eastAsia="Calibri" w:cs="Times New Roman" w:ascii="Times New Roman" w:hAnsi="Times New Roman"/>
                <w:sz w:val="18"/>
                <w:szCs w:val="18"/>
                <w:lang w:val="en-US"/>
              </w:rPr>
              <w:t>Learning outcomes</w:t>
            </w:r>
            <w:r>
              <w:rPr>
                <w:rFonts w:cs="Times New Roman" w:ascii="Times New Roman" w:hAnsi="Times New Roman"/>
                <w:sz w:val="18"/>
                <w:szCs w:val="18"/>
              </w:rPr>
              <w:t xml:space="preserve"> 4-6: laboratory reports, assessment of work, attitude and engagement in the classes. </w:t>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Final assessment includes:</w:t>
            </w:r>
          </w:p>
          <w:p>
            <w:pPr>
              <w:pStyle w:val="ListParagraph"/>
              <w:numPr>
                <w:ilvl w:val="0"/>
                <w:numId w:val="2"/>
              </w:numPr>
              <w:spacing w:lineRule="auto" w:line="240" w:before="0" w:after="0"/>
              <w:contextualSpacing/>
              <w:jc w:val="both"/>
              <w:rPr>
                <w:rFonts w:ascii="Times New Roman" w:hAnsi="Times New Roman" w:eastAsia="Calibri" w:cs="Times New Roman"/>
                <w:sz w:val="18"/>
                <w:szCs w:val="18"/>
                <w:lang w:val="en-US"/>
              </w:rPr>
            </w:pPr>
            <w:r>
              <w:rPr>
                <w:rFonts w:cs="Times New Roman" w:ascii="Times New Roman" w:hAnsi="Times New Roman"/>
                <w:sz w:val="18"/>
                <w:szCs w:val="18"/>
              </w:rPr>
              <w:t xml:space="preserve">written test (80%) </w:t>
            </w:r>
          </w:p>
          <w:p>
            <w:pPr>
              <w:pStyle w:val="ListParagraph"/>
              <w:numPr>
                <w:ilvl w:val="0"/>
                <w:numId w:val="2"/>
              </w:numPr>
              <w:spacing w:lineRule="auto" w:line="240" w:before="0" w:after="0"/>
              <w:contextualSpacing/>
              <w:jc w:val="both"/>
              <w:rPr>
                <w:rFonts w:ascii="Times New Roman" w:hAnsi="Times New Roman" w:eastAsia="Calibri" w:cs="Times New Roman"/>
                <w:sz w:val="18"/>
                <w:szCs w:val="18"/>
                <w:lang w:val="en-US"/>
              </w:rPr>
            </w:pPr>
            <w:r>
              <w:rPr>
                <w:rFonts w:cs="Times New Roman" w:ascii="Times New Roman" w:hAnsi="Times New Roman"/>
                <w:sz w:val="18"/>
                <w:szCs w:val="18"/>
              </w:rPr>
              <w:t>laboratory reports and student activity (20%)</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Prerequisites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cs="Times New Roman" w:ascii="Times New Roman" w:hAnsi="Times New Roman"/>
                <w:sz w:val="18"/>
                <w:szCs w:val="18"/>
                <w:lang w:val="en-GB"/>
              </w:rPr>
              <w:t>Knowledge of biochemistry, microbiology and biotechnology</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bCs/>
                <w:iCs/>
                <w:color w:val="000000"/>
                <w:sz w:val="18"/>
                <w:szCs w:val="18"/>
                <w:lang w:val="en-GB"/>
              </w:rPr>
              <w:t>Course content with delivery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TMLPreformatted"/>
              <w:spacing w:before="0" w:after="0"/>
              <w:rPr>
                <w:rFonts w:ascii="Times New Roman" w:hAnsi="Times New Roman" w:cs="Times New Roman"/>
                <w:sz w:val="18"/>
                <w:szCs w:val="18"/>
              </w:rPr>
            </w:pPr>
            <w:r>
              <w:rPr>
                <w:rFonts w:cs="Times New Roman" w:ascii="Times New Roman" w:hAnsi="Times New Roman"/>
                <w:sz w:val="18"/>
                <w:szCs w:val="18"/>
                <w:lang w:val="en-GB"/>
              </w:rPr>
              <w:t>LECTURE</w:t>
            </w:r>
          </w:p>
          <w:p>
            <w:pPr>
              <w:pStyle w:val="HTMLPreformatted"/>
              <w:spacing w:before="0" w:after="0"/>
              <w:rPr>
                <w:rFonts w:ascii="Times New Roman" w:hAnsi="Times New Roman" w:cs="Times New Roman"/>
                <w:sz w:val="18"/>
                <w:szCs w:val="18"/>
              </w:rPr>
            </w:pPr>
            <w:r>
              <w:rPr>
                <w:rFonts w:cs="Times New Roman" w:ascii="Times New Roman" w:hAnsi="Times New Roman"/>
                <w:sz w:val="18"/>
                <w:szCs w:val="18"/>
                <w:lang w:val="en-GB"/>
              </w:rPr>
              <w:t>Presentation of innovations in fermented food and beverages production (bread, meat and milk products, beer, wine and spirits), including use of starters, probiotics, immobilized microorganisms, alternative raw materials, enzymes, biologically active substances and other additives.</w:t>
            </w:r>
          </w:p>
          <w:p>
            <w:pPr>
              <w:pStyle w:val="HTMLPreformatted"/>
              <w:spacing w:before="0" w:after="0"/>
              <w:rPr>
                <w:rFonts w:ascii="Times New Roman" w:hAnsi="Times New Roman" w:cs="Times New Roman"/>
                <w:sz w:val="18"/>
                <w:szCs w:val="18"/>
              </w:rPr>
            </w:pPr>
            <w:r>
              <w:rPr>
                <w:rFonts w:cs="Times New Roman" w:ascii="Times New Roman" w:hAnsi="Times New Roman"/>
                <w:sz w:val="18"/>
                <w:szCs w:val="18"/>
                <w:lang w:val="en-GB"/>
              </w:rPr>
              <w:t>LABORATORY</w:t>
            </w:r>
          </w:p>
          <w:p>
            <w:pPr>
              <w:pStyle w:val="Normal"/>
              <w:spacing w:before="0" w:after="0"/>
              <w:jc w:val="both"/>
              <w:rPr>
                <w:rFonts w:ascii="Times New Roman" w:hAnsi="Times New Roman" w:eastAsia="Calibri" w:cs="Times New Roman"/>
                <w:sz w:val="18"/>
                <w:szCs w:val="18"/>
              </w:rPr>
            </w:pPr>
            <w:r>
              <w:rPr>
                <w:rFonts w:cs="Times New Roman" w:ascii="Times New Roman" w:hAnsi="Times New Roman"/>
                <w:sz w:val="18"/>
                <w:szCs w:val="18"/>
                <w:lang w:val="en-GB"/>
              </w:rPr>
              <w:t>The programme covers microbiological problems, fermentation technologies, including starters, fermentation with immobilized cells</w:t>
            </w:r>
            <w:r>
              <w:rPr>
                <w:rFonts w:eastAsia="Times New Roman" w:cs="Times New Roman" w:ascii="Times New Roman" w:hAnsi="Times New Roman"/>
                <w:color w:val="000000"/>
                <w:sz w:val="18"/>
                <w:szCs w:val="18"/>
                <w:lang w:val="en-GB"/>
              </w:rPr>
              <w:t>.</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Basic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Style w:val="Wyrnienie"/>
                <w:rFonts w:cs="Times New Roman" w:ascii="Times New Roman" w:hAnsi="Times New Roman"/>
                <w:i w:val="false"/>
                <w:sz w:val="18"/>
                <w:szCs w:val="18"/>
                <w:lang w:val="en-GB"/>
              </w:rPr>
              <w:t>Innovations</w:t>
            </w:r>
            <w:r>
              <w:rPr>
                <w:rStyle w:val="St"/>
                <w:rFonts w:cs="Times New Roman" w:ascii="Times New Roman" w:hAnsi="Times New Roman"/>
                <w:i/>
                <w:sz w:val="18"/>
                <w:szCs w:val="18"/>
                <w:lang w:val="en-GB"/>
              </w:rPr>
              <w:t xml:space="preserve"> </w:t>
            </w:r>
            <w:r>
              <w:rPr>
                <w:rStyle w:val="St"/>
                <w:rFonts w:cs="Times New Roman" w:ascii="Times New Roman" w:hAnsi="Times New Roman"/>
                <w:sz w:val="18"/>
                <w:szCs w:val="18"/>
                <w:lang w:val="en-GB"/>
              </w:rPr>
              <w:t>in</w:t>
            </w:r>
            <w:r>
              <w:rPr>
                <w:rStyle w:val="St"/>
                <w:rFonts w:cs="Times New Roman" w:ascii="Times New Roman" w:hAnsi="Times New Roman"/>
                <w:i/>
                <w:sz w:val="18"/>
                <w:szCs w:val="18"/>
                <w:lang w:val="en-GB"/>
              </w:rPr>
              <w:t xml:space="preserve"> </w:t>
            </w:r>
            <w:r>
              <w:rPr>
                <w:rStyle w:val="Wyrnienie"/>
                <w:rFonts w:cs="Times New Roman" w:ascii="Times New Roman" w:hAnsi="Times New Roman"/>
                <w:i w:val="false"/>
                <w:sz w:val="18"/>
                <w:szCs w:val="18"/>
                <w:lang w:val="en-GB"/>
              </w:rPr>
              <w:t>Technologies</w:t>
            </w:r>
            <w:r>
              <w:rPr>
                <w:rStyle w:val="St"/>
                <w:rFonts w:cs="Times New Roman" w:ascii="Times New Roman" w:hAnsi="Times New Roman"/>
                <w:i/>
                <w:sz w:val="18"/>
                <w:szCs w:val="18"/>
                <w:lang w:val="en-GB"/>
              </w:rPr>
              <w:t xml:space="preserve"> </w:t>
            </w:r>
            <w:r>
              <w:rPr>
                <w:rStyle w:val="St"/>
                <w:rFonts w:cs="Times New Roman" w:ascii="Times New Roman" w:hAnsi="Times New Roman"/>
                <w:sz w:val="18"/>
                <w:szCs w:val="18"/>
                <w:lang w:val="en-GB"/>
              </w:rPr>
              <w:t>for</w:t>
            </w:r>
            <w:r>
              <w:rPr>
                <w:rStyle w:val="St"/>
                <w:rFonts w:cs="Times New Roman" w:ascii="Times New Roman" w:hAnsi="Times New Roman"/>
                <w:i/>
                <w:sz w:val="18"/>
                <w:szCs w:val="18"/>
                <w:lang w:val="en-GB"/>
              </w:rPr>
              <w:t xml:space="preserve"> </w:t>
            </w:r>
            <w:r>
              <w:rPr>
                <w:rStyle w:val="Wyrnienie"/>
                <w:rFonts w:cs="Times New Roman" w:ascii="Times New Roman" w:hAnsi="Times New Roman"/>
                <w:i w:val="false"/>
                <w:sz w:val="18"/>
                <w:szCs w:val="18"/>
                <w:lang w:val="en-GB"/>
              </w:rPr>
              <w:t>Fermented Food</w:t>
            </w:r>
            <w:r>
              <w:rPr>
                <w:rStyle w:val="St"/>
                <w:rFonts w:cs="Times New Roman" w:ascii="Times New Roman" w:hAnsi="Times New Roman"/>
                <w:i/>
                <w:sz w:val="18"/>
                <w:szCs w:val="18"/>
                <w:lang w:val="en-GB"/>
              </w:rPr>
              <w:t xml:space="preserve"> </w:t>
            </w:r>
            <w:r>
              <w:rPr>
                <w:rStyle w:val="St"/>
                <w:rFonts w:cs="Times New Roman" w:ascii="Times New Roman" w:hAnsi="Times New Roman"/>
                <w:sz w:val="18"/>
                <w:szCs w:val="18"/>
                <w:lang w:val="en-GB"/>
              </w:rPr>
              <w:t>and</w:t>
            </w:r>
            <w:r>
              <w:rPr>
                <w:rStyle w:val="St"/>
                <w:rFonts w:cs="Times New Roman" w:ascii="Times New Roman" w:hAnsi="Times New Roman"/>
                <w:i/>
                <w:sz w:val="18"/>
                <w:szCs w:val="18"/>
                <w:lang w:val="en-GB"/>
              </w:rPr>
              <w:t xml:space="preserve"> </w:t>
            </w:r>
            <w:r>
              <w:rPr>
                <w:rStyle w:val="Wyrnienie"/>
                <w:rFonts w:cs="Times New Roman" w:ascii="Times New Roman" w:hAnsi="Times New Roman"/>
                <w:i w:val="false"/>
                <w:sz w:val="18"/>
                <w:szCs w:val="18"/>
                <w:lang w:val="en-GB"/>
              </w:rPr>
              <w:t>Beverage Industries</w:t>
            </w:r>
            <w:r>
              <w:rPr>
                <w:rStyle w:val="St"/>
                <w:rFonts w:cs="Times New Roman" w:ascii="Times New Roman" w:hAnsi="Times New Roman"/>
                <w:i/>
                <w:sz w:val="18"/>
                <w:szCs w:val="18"/>
                <w:lang w:val="en-GB"/>
              </w:rPr>
              <w:t xml:space="preserve">. </w:t>
            </w:r>
            <w:r>
              <w:rPr>
                <w:rStyle w:val="St"/>
                <w:rFonts w:cs="Times New Roman" w:ascii="Times New Roman" w:hAnsi="Times New Roman"/>
                <w:sz w:val="18"/>
                <w:szCs w:val="18"/>
                <w:lang w:val="en-GB"/>
              </w:rPr>
              <w:t>Editors:</w:t>
            </w:r>
            <w:r>
              <w:rPr>
                <w:rStyle w:val="St"/>
                <w:rFonts w:cs="Times New Roman" w:ascii="Times New Roman" w:hAnsi="Times New Roman"/>
                <w:i/>
                <w:sz w:val="18"/>
                <w:szCs w:val="18"/>
                <w:lang w:val="en-GB"/>
              </w:rPr>
              <w:t xml:space="preserve"> </w:t>
            </w:r>
            <w:r>
              <w:rPr>
                <w:rStyle w:val="Wyrnienie"/>
                <w:rFonts w:cs="Times New Roman" w:ascii="Times New Roman" w:hAnsi="Times New Roman"/>
                <w:i w:val="false"/>
                <w:sz w:val="18"/>
                <w:szCs w:val="18"/>
                <w:lang w:val="en-GB"/>
              </w:rPr>
              <w:t>Sandeep Kumar Panda</w:t>
            </w:r>
            <w:r>
              <w:rPr>
                <w:rStyle w:val="St"/>
                <w:rFonts w:cs="Times New Roman" w:ascii="Times New Roman" w:hAnsi="Times New Roman"/>
                <w:i/>
                <w:sz w:val="18"/>
                <w:szCs w:val="18"/>
                <w:lang w:val="en-GB"/>
              </w:rPr>
              <w:t xml:space="preserve">; </w:t>
            </w:r>
            <w:r>
              <w:rPr>
                <w:rStyle w:val="Wyrnienie"/>
                <w:rFonts w:cs="Times New Roman" w:ascii="Times New Roman" w:hAnsi="Times New Roman"/>
                <w:i w:val="false"/>
                <w:sz w:val="18"/>
                <w:szCs w:val="18"/>
                <w:lang w:val="en-GB"/>
              </w:rPr>
              <w:t xml:space="preserve">Prathapkumar Halady Shetty, </w:t>
            </w:r>
            <w:r>
              <w:rPr>
                <w:rFonts w:cs="Times New Roman" w:ascii="Times New Roman" w:hAnsi="Times New Roman"/>
                <w:sz w:val="18"/>
                <w:szCs w:val="18"/>
                <w:lang w:val="en-GB"/>
              </w:rPr>
              <w:t>Springer, 1st edition</w:t>
            </w:r>
            <w:r>
              <w:rPr>
                <w:rFonts w:cs="Times New Roman" w:ascii="Times New Roman" w:hAnsi="Times New Roman"/>
                <w:i/>
                <w:sz w:val="18"/>
                <w:szCs w:val="18"/>
                <w:lang w:val="en-GB"/>
              </w:rPr>
              <w:t>, 2018</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Other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GB"/>
              </w:rPr>
            </w:pPr>
            <w:r>
              <w:rPr>
                <w:rFonts w:eastAsia="Calibri" w:cs="Times New Roman" w:ascii="Times New Roman" w:hAnsi="Times New Roman"/>
                <w:sz w:val="18"/>
                <w:szCs w:val="18"/>
                <w:lang w:val="en-GB"/>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Average student workload outside classroom</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lang w:val="en-GB"/>
              </w:rPr>
              <w:t>15 h</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Comments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GB"/>
              </w:rPr>
            </w:pPr>
            <w:r>
              <w:rPr>
                <w:rFonts w:eastAsia="Calibri" w:cs="Times New Roman" w:ascii="Times New Roman" w:hAnsi="Times New Roman"/>
                <w:sz w:val="18"/>
                <w:szCs w:val="18"/>
                <w:lang w:val="en-GB"/>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jc w:val="both"/>
              <w:rPr>
                <w:rFonts w:ascii="Times New Roman" w:hAnsi="Times New Roman" w:eastAsia="Calibri" w:cs="Times New Roman"/>
                <w:b/>
                <w:b/>
                <w:sz w:val="18"/>
                <w:szCs w:val="18"/>
              </w:rPr>
            </w:pPr>
            <w:r>
              <w:rPr>
                <w:rFonts w:eastAsia="Calibri" w:cs="Times New Roman" w:ascii="Times New Roman" w:hAnsi="Times New Roman"/>
                <w:b/>
                <w:sz w:val="18"/>
                <w:szCs w:val="18"/>
                <w:lang w:val="en-GB"/>
              </w:rPr>
              <w:t>Last update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GB"/>
              </w:rPr>
            </w:pPr>
            <w:bookmarkStart w:id="2" w:name="_Hlk5601006"/>
            <w:bookmarkStart w:id="3" w:name="_Hlk5601006"/>
            <w:bookmarkEnd w:id="3"/>
            <w:r>
              <w:rPr>
                <w:rFonts w:eastAsia="Calibri" w:cs="Times New Roman" w:ascii="Times New Roman" w:hAnsi="Times New Roman"/>
                <w:sz w:val="18"/>
                <w:szCs w:val="18"/>
                <w:lang w:val="en-GB"/>
              </w:rPr>
            </w:r>
          </w:p>
        </w:tc>
      </w:tr>
    </w:tbl>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urier New">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HTMLwstpniesformatowanyZnak" w:customStyle="1">
    <w:name w:val="HTML - wstępnie sformatowany Znak"/>
    <w:basedOn w:val="DefaultParagraphFont"/>
    <w:link w:val="HTML-wstpniesformatowany"/>
    <w:uiPriority w:val="99"/>
    <w:qFormat/>
    <w:rsid w:val="00612f4b"/>
    <w:rPr>
      <w:rFonts w:ascii="Courier New" w:hAnsi="Courier New" w:eastAsia="Times New Roman" w:cs="Courier New"/>
      <w:sz w:val="20"/>
      <w:szCs w:val="20"/>
      <w:lang w:eastAsia="pl-PL"/>
    </w:rPr>
  </w:style>
  <w:style w:type="character" w:styleId="St" w:customStyle="1">
    <w:name w:val="st"/>
    <w:basedOn w:val="DefaultParagraphFont"/>
    <w:qFormat/>
    <w:rsid w:val="00066725"/>
    <w:rPr/>
  </w:style>
  <w:style w:type="character" w:styleId="Wyrnienie">
    <w:name w:val="Wyróżnienie"/>
    <w:basedOn w:val="DefaultParagraphFont"/>
    <w:uiPriority w:val="20"/>
    <w:qFormat/>
    <w:rsid w:val="00066725"/>
    <w:rPr>
      <w:i/>
      <w:iC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HTMLPreformatted">
    <w:name w:val="HTML Preformatted"/>
    <w:basedOn w:val="Normal"/>
    <w:link w:val="HTML-wstpniesformatowanyZnak"/>
    <w:uiPriority w:val="99"/>
    <w:unhideWhenUsed/>
    <w:qFormat/>
    <w:rsid w:val="00612f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paragraph" w:styleId="ListParagraph">
    <w:name w:val="List Paragraph"/>
    <w:basedOn w:val="Normal"/>
    <w:uiPriority w:val="34"/>
    <w:qFormat/>
    <w:rsid w:val="005c14db"/>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0a799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6FE300D4-01E1-4E33-808F-B8EC7F24764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Application>LibreOffice/5.3.0.3$Windows_x86 LibreOffice_project/7074905676c47b82bbcfbea1aeefc84afe1c50e1</Application>
  <Pages>1</Pages>
  <Words>351</Words>
  <Characters>2174</Characters>
  <CharactersWithSpaces>2453</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2019-04-07T18:41:00Z</dcterms:created>
  <dc:creator>ARBGB</dc:creator>
  <dc:description/>
  <dc:language>pl-PL</dc:language>
  <cp:lastModifiedBy>Małgorzata Kupczyńska</cp:lastModifiedBy>
  <dcterms:modified xsi:type="dcterms:W3CDTF">2019-05-27T09:46:00Z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