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062"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2157"/>
        <w:gridCol w:w="6905"/>
      </w:tblGrid>
      <w:tr w:rsidR="00817858">
        <w:trPr>
          <w:trHeight w:val="21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jc w:val="both"/>
              <w:rPr>
                <w:rFonts w:cs="Times New Roman"/>
              </w:rPr>
            </w:pPr>
            <w:bookmarkStart w:id="0" w:name="_GoBack"/>
            <w:bookmarkEnd w:id="0"/>
            <w:r w:rsidRPr="003D40B2">
              <w:rPr>
                <w:rFonts w:ascii="Arial Narrow" w:hAnsi="Arial Narrow" w:cs="Arial Narrow"/>
                <w:b/>
                <w:bCs/>
                <w:sz w:val="18"/>
                <w:szCs w:val="18"/>
                <w:lang w:val="en-US"/>
              </w:rPr>
              <w:t>Type and description</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Pr>
                <w:rFonts w:ascii="Arial Narrow" w:hAnsi="Arial Narrow" w:cs="Arial Narrow"/>
                <w:sz w:val="18"/>
                <w:szCs w:val="18"/>
                <w:lang w:val="en-US"/>
              </w:rPr>
              <w:t>CE_V</w:t>
            </w:r>
            <w:r w:rsidRPr="003D40B2">
              <w:rPr>
                <w:rFonts w:ascii="Arial Narrow" w:hAnsi="Arial Narrow" w:cs="Arial Narrow"/>
                <w:sz w:val="18"/>
                <w:szCs w:val="18"/>
                <w:lang w:val="en-US"/>
              </w:rPr>
              <w:t>P</w:t>
            </w:r>
            <w:r>
              <w:rPr>
                <w:rFonts w:ascii="Arial Narrow" w:hAnsi="Arial Narrow" w:cs="Arial Narrow"/>
                <w:sz w:val="18"/>
                <w:szCs w:val="18"/>
                <w:lang w:val="en-US"/>
              </w:rPr>
              <w:t>2</w:t>
            </w:r>
          </w:p>
        </w:tc>
      </w:tr>
      <w:tr w:rsidR="00817858">
        <w:trPr>
          <w:trHeight w:val="21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b/>
                <w:bCs/>
                <w:sz w:val="18"/>
                <w:szCs w:val="18"/>
                <w:lang w:val="en-US"/>
              </w:rPr>
              <w:t>Course name</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Default="00817858">
            <w:pPr>
              <w:pBdr>
                <w:top w:val="none" w:sz="0" w:space="0" w:color="auto"/>
                <w:left w:val="none" w:sz="0" w:space="0" w:color="auto"/>
                <w:bottom w:val="none" w:sz="0" w:space="0" w:color="auto"/>
                <w:right w:val="none" w:sz="0" w:space="0" w:color="auto"/>
                <w:bar w:val="none" w:sz="0" w:color="auto"/>
              </w:pBdr>
              <w:rPr>
                <w:rFonts w:cs="Times New Roman"/>
              </w:rPr>
            </w:pPr>
            <w:r w:rsidRPr="00AF63E2">
              <w:rPr>
                <w:sz w:val="20"/>
                <w:szCs w:val="20"/>
                <w:lang w:val="en-US"/>
              </w:rPr>
              <w:t>Advances in Fluid Separation Processes</w:t>
            </w:r>
          </w:p>
        </w:tc>
      </w:tr>
      <w:tr w:rsidR="00817858">
        <w:trPr>
          <w:trHeight w:val="21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b/>
                <w:bCs/>
                <w:sz w:val="18"/>
                <w:szCs w:val="18"/>
                <w:lang w:val="en-US"/>
              </w:rPr>
              <w:t>Course name in Polish</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Default="00817858">
            <w:pPr>
              <w:pBdr>
                <w:top w:val="none" w:sz="0" w:space="0" w:color="auto"/>
                <w:left w:val="none" w:sz="0" w:space="0" w:color="auto"/>
                <w:bottom w:val="none" w:sz="0" w:space="0" w:color="auto"/>
                <w:right w:val="none" w:sz="0" w:space="0" w:color="auto"/>
                <w:bar w:val="none" w:sz="0" w:color="auto"/>
              </w:pBdr>
              <w:rPr>
                <w:rFonts w:cs="Times New Roman"/>
              </w:rPr>
            </w:pPr>
            <w:r>
              <w:rPr>
                <w:rFonts w:ascii="Arial Narrow" w:hAnsi="Arial Narrow" w:cs="Arial Narrow"/>
                <w:sz w:val="18"/>
                <w:szCs w:val="18"/>
              </w:rPr>
              <w:t>Innowacyjne procesy rozdzielania</w:t>
            </w:r>
          </w:p>
        </w:tc>
      </w:tr>
      <w:tr w:rsidR="00817858">
        <w:trPr>
          <w:trHeight w:val="21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b/>
                <w:bCs/>
                <w:sz w:val="18"/>
                <w:szCs w:val="18"/>
                <w:lang w:val="en-US"/>
              </w:rPr>
              <w:t>Language of instruction</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sz w:val="18"/>
                <w:szCs w:val="18"/>
                <w:lang w:val="en-US"/>
              </w:rPr>
              <w:t>English</w:t>
            </w:r>
          </w:p>
        </w:tc>
      </w:tr>
      <w:tr w:rsidR="00817858" w:rsidRPr="00EB3ADE">
        <w:trPr>
          <w:trHeight w:val="41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b/>
                <w:bCs/>
                <w:sz w:val="18"/>
                <w:szCs w:val="18"/>
                <w:lang w:val="en-US"/>
              </w:rPr>
              <w:t>Course coordinator and academic teachers</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Pr="00F25373" w:rsidRDefault="00817858">
            <w:pPr>
              <w:pBdr>
                <w:top w:val="none" w:sz="0" w:space="0" w:color="auto"/>
                <w:left w:val="none" w:sz="0" w:space="0" w:color="auto"/>
                <w:bottom w:val="none" w:sz="0" w:space="0" w:color="auto"/>
                <w:right w:val="none" w:sz="0" w:space="0" w:color="auto"/>
                <w:bar w:val="none" w:sz="0" w:color="auto"/>
              </w:pBdr>
              <w:rPr>
                <w:rFonts w:cs="Times New Roman"/>
                <w:lang w:val="pl-PL"/>
              </w:rPr>
            </w:pPr>
            <w:r w:rsidRPr="00F25373">
              <w:rPr>
                <w:sz w:val="20"/>
                <w:szCs w:val="20"/>
                <w:lang w:val="pl-PL"/>
              </w:rPr>
              <w:t>prof. dr hab. inż. Andrzej Górak, TU Dortmund</w:t>
            </w:r>
          </w:p>
        </w:tc>
      </w:tr>
      <w:tr w:rsidR="00817858">
        <w:trPr>
          <w:trHeight w:val="105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b/>
                <w:bCs/>
                <w:sz w:val="18"/>
                <w:szCs w:val="18"/>
                <w:lang w:val="en-US"/>
              </w:rPr>
              <w:t>Form of classes and number of teaching hours</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Pr="003D40B2"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b/>
                <w:bCs/>
                <w:sz w:val="14"/>
                <w:szCs w:val="14"/>
                <w:lang w:val="en-US"/>
              </w:rPr>
            </w:pPr>
            <w:r>
              <w:rPr>
                <w:rFonts w:cs="Times New Roman"/>
              </w:rPr>
              <w:tab/>
            </w:r>
            <w:r>
              <w:t xml:space="preserve">              </w:t>
            </w:r>
            <w:r w:rsidRPr="003D40B2">
              <w:rPr>
                <w:rFonts w:ascii="Arial Narrow" w:hAnsi="Arial Narrow" w:cs="Arial Narrow"/>
                <w:b/>
                <w:bCs/>
                <w:sz w:val="14"/>
                <w:szCs w:val="14"/>
                <w:lang w:val="en-US"/>
              </w:rPr>
              <w:t>Lecture</w:t>
            </w:r>
            <w:r w:rsidRPr="003D40B2">
              <w:rPr>
                <w:rFonts w:ascii="Arial Narrow" w:hAnsi="Arial Narrow" w:cs="Arial Narrow"/>
                <w:b/>
                <w:bCs/>
                <w:sz w:val="14"/>
                <w:szCs w:val="14"/>
                <w:lang w:val="en-US"/>
              </w:rPr>
              <w:tab/>
              <w:t>Tutorials</w:t>
            </w:r>
            <w:r w:rsidRPr="003D40B2">
              <w:rPr>
                <w:rFonts w:ascii="Arial Narrow" w:hAnsi="Arial Narrow" w:cs="Arial Narrow"/>
                <w:b/>
                <w:bCs/>
                <w:sz w:val="14"/>
                <w:szCs w:val="14"/>
                <w:lang w:val="en-US"/>
              </w:rPr>
              <w:tab/>
              <w:t>Laboratory</w:t>
            </w:r>
            <w:r w:rsidRPr="003D40B2">
              <w:rPr>
                <w:rFonts w:ascii="Arial Narrow" w:hAnsi="Arial Narrow" w:cs="Arial Narrow"/>
                <w:b/>
                <w:bCs/>
                <w:sz w:val="14"/>
                <w:szCs w:val="14"/>
                <w:lang w:val="en-US"/>
              </w:rPr>
              <w:tab/>
              <w:t>Project</w:t>
            </w:r>
            <w:r w:rsidRPr="003D40B2">
              <w:rPr>
                <w:rFonts w:ascii="Arial Narrow" w:hAnsi="Arial Narrow" w:cs="Arial Narrow"/>
                <w:b/>
                <w:bCs/>
                <w:sz w:val="14"/>
                <w:szCs w:val="14"/>
                <w:lang w:val="en-US"/>
              </w:rPr>
              <w:tab/>
              <w:t>Seminar</w:t>
            </w:r>
            <w:r w:rsidRPr="003D40B2">
              <w:rPr>
                <w:rFonts w:ascii="Arial Narrow" w:hAnsi="Arial Narrow" w:cs="Arial Narrow"/>
                <w:b/>
                <w:bCs/>
                <w:sz w:val="14"/>
                <w:szCs w:val="14"/>
                <w:lang w:val="en-US"/>
              </w:rPr>
              <w:tab/>
              <w:t>Other</w:t>
            </w:r>
            <w:r w:rsidRPr="003D40B2">
              <w:rPr>
                <w:rFonts w:ascii="Arial Narrow" w:hAnsi="Arial Narrow" w:cs="Arial Narrow"/>
                <w:b/>
                <w:bCs/>
                <w:sz w:val="14"/>
                <w:szCs w:val="14"/>
                <w:lang w:val="en-US"/>
              </w:rPr>
              <w:tab/>
              <w:t>Total of teaching hours during semester</w:t>
            </w:r>
          </w:p>
          <w:p w:rsidR="00817858" w:rsidRPr="003D40B2"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sz w:val="14"/>
                <w:szCs w:val="14"/>
                <w:lang w:val="en-US"/>
              </w:rPr>
            </w:pPr>
            <w:r>
              <w:rPr>
                <w:rFonts w:ascii="Arial Narrow" w:hAnsi="Arial Narrow" w:cs="Arial Narrow"/>
                <w:sz w:val="14"/>
                <w:szCs w:val="14"/>
                <w:lang w:val="en-US"/>
              </w:rPr>
              <w:t>Contact hours</w:t>
            </w:r>
            <w:r>
              <w:rPr>
                <w:rFonts w:ascii="Arial Narrow" w:hAnsi="Arial Narrow" w:cs="Arial Narrow"/>
                <w:sz w:val="14"/>
                <w:szCs w:val="14"/>
                <w:lang w:val="en-US"/>
              </w:rPr>
              <w:tab/>
              <w:t>40</w:t>
            </w:r>
            <w:r w:rsidRPr="003D40B2">
              <w:rPr>
                <w:rFonts w:ascii="Arial Narrow" w:hAnsi="Arial Narrow" w:cs="Arial Narrow"/>
                <w:sz w:val="14"/>
                <w:szCs w:val="14"/>
                <w:lang w:val="en-US"/>
              </w:rPr>
              <w:tab/>
            </w:r>
            <w:r>
              <w:rPr>
                <w:rFonts w:ascii="Arial Narrow" w:hAnsi="Arial Narrow" w:cs="Arial Narrow"/>
                <w:sz w:val="14"/>
                <w:szCs w:val="14"/>
                <w:lang w:val="en-US"/>
              </w:rPr>
              <w:t>15</w:t>
            </w:r>
            <w:r w:rsidRPr="003D40B2">
              <w:rPr>
                <w:rFonts w:ascii="Arial Narrow" w:hAnsi="Arial Narrow" w:cs="Arial Narrow"/>
                <w:sz w:val="14"/>
                <w:szCs w:val="14"/>
                <w:lang w:val="en-US"/>
              </w:rPr>
              <w:tab/>
            </w:r>
            <w:r>
              <w:rPr>
                <w:rFonts w:ascii="Arial Narrow" w:hAnsi="Arial Narrow" w:cs="Arial Narrow"/>
                <w:sz w:val="14"/>
                <w:szCs w:val="14"/>
                <w:lang w:val="en-US"/>
              </w:rPr>
              <w:t>5</w:t>
            </w:r>
            <w:r w:rsidRPr="003D40B2">
              <w:rPr>
                <w:rFonts w:ascii="Arial Narrow" w:hAnsi="Arial Narrow" w:cs="Arial Narrow"/>
                <w:sz w:val="14"/>
                <w:szCs w:val="14"/>
                <w:lang w:val="en-US"/>
              </w:rPr>
              <w:tab/>
              <w:t>0</w:t>
            </w:r>
            <w:r w:rsidRPr="003D40B2">
              <w:rPr>
                <w:rFonts w:ascii="Arial Narrow" w:hAnsi="Arial Narrow" w:cs="Arial Narrow"/>
                <w:sz w:val="14"/>
                <w:szCs w:val="14"/>
                <w:lang w:val="en-US"/>
              </w:rPr>
              <w:tab/>
              <w:t>0</w:t>
            </w:r>
            <w:r w:rsidRPr="003D40B2">
              <w:rPr>
                <w:rFonts w:ascii="Arial Narrow" w:hAnsi="Arial Narrow" w:cs="Arial Narrow"/>
                <w:sz w:val="14"/>
                <w:szCs w:val="14"/>
                <w:lang w:val="en-US"/>
              </w:rPr>
              <w:tab/>
              <w:t>0</w:t>
            </w:r>
            <w:r w:rsidRPr="003D40B2">
              <w:rPr>
                <w:rFonts w:ascii="Arial Narrow" w:hAnsi="Arial Narrow" w:cs="Arial Narrow"/>
                <w:sz w:val="14"/>
                <w:szCs w:val="14"/>
                <w:lang w:val="en-US"/>
              </w:rPr>
              <w:tab/>
              <w:t>60</w:t>
            </w:r>
          </w:p>
          <w:p w:rsidR="00817858" w:rsidRPr="003D40B2"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center"/>
              <w:rPr>
                <w:rFonts w:ascii="Arial Narrow" w:hAnsi="Arial Narrow" w:cs="Arial Narrow"/>
                <w:sz w:val="14"/>
                <w:szCs w:val="14"/>
                <w:lang w:val="en-US"/>
              </w:rPr>
            </w:pPr>
            <w:r w:rsidRPr="003D40B2">
              <w:rPr>
                <w:rFonts w:ascii="Arial Narrow" w:hAnsi="Arial Narrow" w:cs="Arial Narrow"/>
                <w:sz w:val="14"/>
                <w:szCs w:val="14"/>
                <w:lang w:val="en-US"/>
              </w:rPr>
              <w:t>E-learning</w:t>
            </w:r>
            <w:r w:rsidRPr="003D40B2">
              <w:rPr>
                <w:rFonts w:ascii="Arial Narrow" w:hAnsi="Arial Narrow" w:cs="Arial Narrow"/>
                <w:sz w:val="14"/>
                <w:szCs w:val="14"/>
                <w:lang w:val="en-US"/>
              </w:rPr>
              <w:tab/>
              <w:t>No</w:t>
            </w:r>
            <w:r w:rsidRPr="003D40B2">
              <w:rPr>
                <w:rFonts w:ascii="Arial Narrow" w:hAnsi="Arial Narrow" w:cs="Arial Narrow"/>
                <w:sz w:val="14"/>
                <w:szCs w:val="14"/>
                <w:lang w:val="en-US"/>
              </w:rPr>
              <w:tab/>
              <w:t>No</w:t>
            </w:r>
            <w:r w:rsidRPr="003D40B2">
              <w:rPr>
                <w:rFonts w:ascii="Arial Narrow" w:hAnsi="Arial Narrow" w:cs="Arial Narrow"/>
                <w:sz w:val="14"/>
                <w:szCs w:val="14"/>
                <w:lang w:val="en-US"/>
              </w:rPr>
              <w:tab/>
              <w:t>No</w:t>
            </w:r>
            <w:r w:rsidRPr="003D40B2">
              <w:rPr>
                <w:rFonts w:ascii="Arial Narrow" w:hAnsi="Arial Narrow" w:cs="Arial Narrow"/>
                <w:sz w:val="14"/>
                <w:szCs w:val="14"/>
                <w:lang w:val="en-US"/>
              </w:rPr>
              <w:tab/>
              <w:t>No</w:t>
            </w:r>
            <w:r w:rsidRPr="003D40B2">
              <w:rPr>
                <w:rFonts w:ascii="Arial Narrow" w:hAnsi="Arial Narrow" w:cs="Arial Narrow"/>
                <w:sz w:val="14"/>
                <w:szCs w:val="14"/>
                <w:lang w:val="en-US"/>
              </w:rPr>
              <w:tab/>
              <w:t>No</w:t>
            </w:r>
            <w:r w:rsidRPr="003D40B2">
              <w:rPr>
                <w:rFonts w:ascii="Arial Narrow" w:hAnsi="Arial Narrow" w:cs="Arial Narrow"/>
                <w:sz w:val="14"/>
                <w:szCs w:val="14"/>
                <w:lang w:val="en-US"/>
              </w:rPr>
              <w:tab/>
              <w:t>No</w:t>
            </w:r>
            <w:r w:rsidRPr="003D40B2">
              <w:rPr>
                <w:rFonts w:ascii="Arial Narrow" w:hAnsi="Arial Narrow" w:cs="Arial Narrow"/>
                <w:sz w:val="14"/>
                <w:szCs w:val="14"/>
                <w:lang w:val="en-US"/>
              </w:rPr>
              <w:tab/>
            </w:r>
          </w:p>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center"/>
              <w:rPr>
                <w:rFonts w:cs="Times New Roman"/>
              </w:rPr>
            </w:pPr>
            <w:r w:rsidRPr="003D40B2">
              <w:rPr>
                <w:rFonts w:ascii="Arial Narrow" w:hAnsi="Arial Narrow" w:cs="Arial Narrow"/>
                <w:sz w:val="14"/>
                <w:szCs w:val="14"/>
                <w:shd w:val="clear" w:color="auto" w:fill="EEEEEE"/>
                <w:lang w:val="en-US"/>
              </w:rPr>
              <w:t>Assessment criteria (weightage)</w:t>
            </w:r>
            <w:r w:rsidRPr="003D40B2">
              <w:rPr>
                <w:rFonts w:ascii="Arial Narrow" w:hAnsi="Arial Narrow" w:cs="Arial Narrow"/>
                <w:sz w:val="14"/>
                <w:szCs w:val="14"/>
                <w:shd w:val="clear" w:color="auto" w:fill="EEEEEE"/>
                <w:lang w:val="en-US"/>
              </w:rPr>
              <w:tab/>
            </w:r>
            <w:r w:rsidRPr="003D40B2">
              <w:rPr>
                <w:rFonts w:ascii="Arial Narrow" w:hAnsi="Arial Narrow" w:cs="Arial Narrow"/>
                <w:sz w:val="14"/>
                <w:szCs w:val="14"/>
                <w:lang w:val="en-US"/>
              </w:rPr>
              <w:t>0,00</w:t>
            </w:r>
            <w:r w:rsidRPr="003D40B2">
              <w:rPr>
                <w:rFonts w:ascii="Arial Narrow" w:hAnsi="Arial Narrow" w:cs="Arial Narrow"/>
                <w:sz w:val="14"/>
                <w:szCs w:val="14"/>
                <w:lang w:val="en-US"/>
              </w:rPr>
              <w:tab/>
            </w:r>
            <w:r w:rsidRPr="003D40B2">
              <w:rPr>
                <w:rFonts w:ascii="Arial Narrow" w:hAnsi="Arial Narrow" w:cs="Arial Narrow"/>
                <w:sz w:val="14"/>
                <w:szCs w:val="14"/>
                <w:lang w:val="en-US"/>
              </w:rPr>
              <w:tab/>
            </w:r>
            <w:r w:rsidRPr="003D40B2">
              <w:rPr>
                <w:rFonts w:ascii="Arial Narrow" w:hAnsi="Arial Narrow" w:cs="Arial Narrow"/>
                <w:sz w:val="14"/>
                <w:szCs w:val="14"/>
                <w:lang w:val="en-US"/>
              </w:rPr>
              <w:tab/>
            </w:r>
            <w:r w:rsidRPr="003D40B2">
              <w:rPr>
                <w:rFonts w:ascii="Arial Narrow" w:hAnsi="Arial Narrow" w:cs="Arial Narrow"/>
                <w:sz w:val="14"/>
                <w:szCs w:val="14"/>
                <w:lang w:val="en-US"/>
              </w:rPr>
              <w:tab/>
            </w:r>
            <w:r w:rsidRPr="003D40B2">
              <w:rPr>
                <w:rFonts w:ascii="Arial Narrow" w:hAnsi="Arial Narrow" w:cs="Arial Narrow"/>
                <w:sz w:val="14"/>
                <w:szCs w:val="14"/>
                <w:lang w:val="en-US"/>
              </w:rPr>
              <w:tab/>
              <w:t>0,00</w:t>
            </w:r>
            <w:r w:rsidRPr="003D40B2">
              <w:rPr>
                <w:rFonts w:ascii="Arial Narrow" w:hAnsi="Arial Narrow" w:cs="Arial Narrow"/>
                <w:sz w:val="14"/>
                <w:szCs w:val="14"/>
                <w:lang w:val="en-US"/>
              </w:rPr>
              <w:tab/>
            </w:r>
          </w:p>
        </w:tc>
      </w:tr>
      <w:tr w:rsidR="00817858">
        <w:trPr>
          <w:trHeight w:val="41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b/>
                <w:bCs/>
                <w:sz w:val="18"/>
                <w:szCs w:val="18"/>
                <w:lang w:val="en-US"/>
              </w:rPr>
              <w:t>Course organisation and content</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Pr="00572DCC" w:rsidRDefault="00817858" w:rsidP="00572DCC">
            <w:pPr>
              <w:pBdr>
                <w:top w:val="none" w:sz="0" w:space="0" w:color="auto"/>
                <w:left w:val="none" w:sz="0" w:space="0" w:color="auto"/>
                <w:bottom w:val="none" w:sz="0" w:space="0" w:color="auto"/>
                <w:right w:val="none" w:sz="0" w:space="0" w:color="auto"/>
                <w:bar w:val="none" w:sz="0" w:color="auto"/>
              </w:pBdr>
            </w:pPr>
            <w:r w:rsidRPr="00572DCC">
              <w:t>Part 1:</w:t>
            </w:r>
          </w:p>
          <w:p w:rsidR="00817858" w:rsidRPr="00572DCC" w:rsidRDefault="00817858" w:rsidP="00572DCC">
            <w:pPr>
              <w:pBdr>
                <w:top w:val="none" w:sz="0" w:space="0" w:color="auto"/>
                <w:left w:val="none" w:sz="0" w:space="0" w:color="auto"/>
                <w:bottom w:val="none" w:sz="0" w:space="0" w:color="auto"/>
                <w:right w:val="none" w:sz="0" w:space="0" w:color="auto"/>
                <w:bar w:val="none" w:sz="0" w:color="auto"/>
              </w:pBdr>
            </w:pPr>
            <w:r w:rsidRPr="00572DCC">
              <w:t>Lecture</w:t>
            </w:r>
          </w:p>
          <w:p w:rsidR="00817858" w:rsidRPr="00572DCC" w:rsidRDefault="00817858" w:rsidP="00572DCC">
            <w:pPr>
              <w:pBdr>
                <w:top w:val="none" w:sz="0" w:space="0" w:color="auto"/>
                <w:left w:val="none" w:sz="0" w:space="0" w:color="auto"/>
                <w:bottom w:val="none" w:sz="0" w:space="0" w:color="auto"/>
                <w:right w:val="none" w:sz="0" w:space="0" w:color="auto"/>
                <w:bar w:val="none" w:sz="0" w:color="auto"/>
              </w:pBdr>
            </w:pPr>
            <w:r w:rsidRPr="00572DCC">
              <w:t>Overview about the main methods for the calculation of vapour-liquid equilibrium for binary systems. activity coefficients in liquid phase. Batch distillation. Heat and Mass balances. Evaporation, vaporization and condensation. Continuous distillation. Determination of the number of theoretical stages. Binary absorption. Dimensioning of absorption column without heat effect. Packed columns. Liquid-liquid extraction. Adsorption and adsorbers.</w:t>
            </w:r>
          </w:p>
          <w:p w:rsidR="00817858" w:rsidRPr="00572DCC" w:rsidRDefault="00817858" w:rsidP="00572DCC">
            <w:pPr>
              <w:pBdr>
                <w:top w:val="none" w:sz="0" w:space="0" w:color="auto"/>
                <w:left w:val="none" w:sz="0" w:space="0" w:color="auto"/>
                <w:bottom w:val="none" w:sz="0" w:space="0" w:color="auto"/>
                <w:right w:val="none" w:sz="0" w:space="0" w:color="auto"/>
                <w:bar w:val="none" w:sz="0" w:color="auto"/>
              </w:pBdr>
            </w:pPr>
            <w:r w:rsidRPr="00572DCC">
              <w:t>Tutorials</w:t>
            </w:r>
          </w:p>
          <w:p w:rsidR="00817858" w:rsidRPr="00572DCC" w:rsidRDefault="00817858" w:rsidP="00572DCC">
            <w:pPr>
              <w:pBdr>
                <w:top w:val="none" w:sz="0" w:space="0" w:color="auto"/>
                <w:left w:val="none" w:sz="0" w:space="0" w:color="auto"/>
                <w:bottom w:val="none" w:sz="0" w:space="0" w:color="auto"/>
                <w:right w:val="none" w:sz="0" w:space="0" w:color="auto"/>
                <w:bar w:val="none" w:sz="0" w:color="auto"/>
              </w:pBdr>
            </w:pPr>
            <w:r w:rsidRPr="00572DCC">
              <w:t>Determination of the product composition in the batch distillation. Design of the distillation column under total and finite reflux conditions. Dimensioning of absorption column. Determination of the number of the extraction stages in the concurrent and counter current extraction.  Design of the separation columns using the interactive simulation tool ChemSep. Analysis of the separation results using different operation modes of the distillation column. Separation of the industrial case study (benzene - styrene).</w:t>
            </w:r>
          </w:p>
          <w:p w:rsidR="00817858" w:rsidRPr="00572DCC" w:rsidRDefault="00817858" w:rsidP="00572DCC">
            <w:pPr>
              <w:pBdr>
                <w:top w:val="none" w:sz="0" w:space="0" w:color="auto"/>
                <w:left w:val="none" w:sz="0" w:space="0" w:color="auto"/>
                <w:bottom w:val="none" w:sz="0" w:space="0" w:color="auto"/>
                <w:right w:val="none" w:sz="0" w:space="0" w:color="auto"/>
                <w:bar w:val="none" w:sz="0" w:color="auto"/>
              </w:pBdr>
            </w:pPr>
          </w:p>
          <w:p w:rsidR="00817858" w:rsidRPr="00572DCC" w:rsidRDefault="00817858" w:rsidP="00572DCC">
            <w:pPr>
              <w:pBdr>
                <w:top w:val="none" w:sz="0" w:space="0" w:color="auto"/>
                <w:left w:val="none" w:sz="0" w:space="0" w:color="auto"/>
                <w:bottom w:val="none" w:sz="0" w:space="0" w:color="auto"/>
                <w:right w:val="none" w:sz="0" w:space="0" w:color="auto"/>
                <w:bar w:val="none" w:sz="0" w:color="auto"/>
              </w:pBdr>
            </w:pPr>
            <w:r w:rsidRPr="00572DCC">
              <w:t>Part 2:</w:t>
            </w:r>
          </w:p>
          <w:p w:rsidR="00817858" w:rsidRPr="00572DCC" w:rsidRDefault="00817858" w:rsidP="00572DCC">
            <w:pPr>
              <w:pBdr>
                <w:top w:val="none" w:sz="0" w:space="0" w:color="auto"/>
                <w:left w:val="none" w:sz="0" w:space="0" w:color="auto"/>
                <w:bottom w:val="none" w:sz="0" w:space="0" w:color="auto"/>
                <w:right w:val="none" w:sz="0" w:space="0" w:color="auto"/>
                <w:bar w:val="none" w:sz="0" w:color="auto"/>
              </w:pBdr>
            </w:pPr>
            <w:r w:rsidRPr="00572DCC">
              <w:t>Lecture</w:t>
            </w:r>
          </w:p>
          <w:p w:rsidR="00817858" w:rsidRPr="00572DCC" w:rsidRDefault="00817858" w:rsidP="00572DCC">
            <w:pPr>
              <w:pBdr>
                <w:top w:val="none" w:sz="0" w:space="0" w:color="auto"/>
                <w:left w:val="none" w:sz="0" w:space="0" w:color="auto"/>
                <w:bottom w:val="none" w:sz="0" w:space="0" w:color="auto"/>
                <w:right w:val="none" w:sz="0" w:space="0" w:color="auto"/>
                <w:bar w:val="none" w:sz="0" w:color="auto"/>
              </w:pBdr>
            </w:pPr>
            <w:r w:rsidRPr="00572DCC">
              <w:t>Overview about the main methods for the calculation of vapour-liquid equilibrium for multicomponent systems (UNIFAC, UNIQUAC, Wilson etc). Methods for prediction of activity coefficients in liquid phase for multicomponent systems. Distillation lines and boundary distillation lines. Differences between them. Multicomponent distillation under real conditions. Design of  distillation columns for multicomponent systems. Multicomponent absorption with heat effects, volatile solvent and vapour condensation. Fundamentals of multicomponent mass transfer. Reactive distillation. Industrial applications. Design case studies.</w:t>
            </w:r>
          </w:p>
          <w:p w:rsidR="00817858" w:rsidRPr="00572DCC" w:rsidRDefault="00817858" w:rsidP="00572DCC">
            <w:pPr>
              <w:pBdr>
                <w:top w:val="none" w:sz="0" w:space="0" w:color="auto"/>
                <w:left w:val="none" w:sz="0" w:space="0" w:color="auto"/>
                <w:bottom w:val="none" w:sz="0" w:space="0" w:color="auto"/>
                <w:right w:val="none" w:sz="0" w:space="0" w:color="auto"/>
                <w:bar w:val="none" w:sz="0" w:color="auto"/>
              </w:pBdr>
            </w:pPr>
            <w:r w:rsidRPr="00572DCC">
              <w:t>Tutorials</w:t>
            </w:r>
          </w:p>
          <w:p w:rsidR="00817858" w:rsidRPr="00572DCC" w:rsidRDefault="00817858" w:rsidP="00572DCC">
            <w:pPr>
              <w:pBdr>
                <w:top w:val="none" w:sz="0" w:space="0" w:color="auto"/>
                <w:left w:val="none" w:sz="0" w:space="0" w:color="auto"/>
                <w:bottom w:val="none" w:sz="0" w:space="0" w:color="auto"/>
                <w:right w:val="none" w:sz="0" w:space="0" w:color="auto"/>
                <w:bar w:val="none" w:sz="0" w:color="auto"/>
              </w:pBdr>
            </w:pPr>
            <w:r w:rsidRPr="00572DCC">
              <w:t>Comparison of different methods for calculation of vapour-liquid equilibrium for multicomponent systems. Design of distillation columns with side stream. Absorption with heat effect - design of the column.</w:t>
            </w:r>
          </w:p>
          <w:p w:rsidR="00817858" w:rsidRPr="00572DCC" w:rsidRDefault="00817858" w:rsidP="00572DCC">
            <w:pPr>
              <w:pBdr>
                <w:top w:val="none" w:sz="0" w:space="0" w:color="auto"/>
                <w:left w:val="none" w:sz="0" w:space="0" w:color="auto"/>
                <w:bottom w:val="none" w:sz="0" w:space="0" w:color="auto"/>
                <w:right w:val="none" w:sz="0" w:space="0" w:color="auto"/>
                <w:bar w:val="none" w:sz="0" w:color="auto"/>
              </w:pBdr>
            </w:pPr>
            <w:r w:rsidRPr="00572DCC">
              <w:t>Laboratory</w:t>
            </w:r>
          </w:p>
          <w:p w:rsidR="00817858" w:rsidRPr="00572DCC" w:rsidRDefault="00817858" w:rsidP="00572DCC">
            <w:pPr>
              <w:pBdr>
                <w:top w:val="none" w:sz="0" w:space="0" w:color="auto"/>
                <w:left w:val="none" w:sz="0" w:space="0" w:color="auto"/>
                <w:bottom w:val="none" w:sz="0" w:space="0" w:color="auto"/>
                <w:right w:val="none" w:sz="0" w:space="0" w:color="auto"/>
                <w:bar w:val="none" w:sz="0" w:color="auto"/>
              </w:pBdr>
              <w:rPr>
                <w:rFonts w:cs="Times New Roman"/>
              </w:rPr>
            </w:pPr>
            <w:r w:rsidRPr="00572DCC">
              <w:t>Computer aided design of a sequence of distillation column using the software VESTO. Determination of boundary distillation lines. Determination of the feasible separation tray for multicomponent mixtures. Interactive design of the distillation column for the separation of close boiling substances. Revamping and debottlenecking of the column. Application of the computer aided design tool ChemSep.</w:t>
            </w:r>
          </w:p>
        </w:tc>
      </w:tr>
      <w:tr w:rsidR="00817858">
        <w:trPr>
          <w:trHeight w:val="21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b/>
                <w:bCs/>
                <w:sz w:val="18"/>
                <w:szCs w:val="18"/>
                <w:lang w:val="en-US"/>
              </w:rPr>
              <w:t>Assessment methods</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Default="00817858">
            <w:pPr>
              <w:pBdr>
                <w:top w:val="none" w:sz="0" w:space="0" w:color="auto"/>
                <w:left w:val="none" w:sz="0" w:space="0" w:color="auto"/>
                <w:bottom w:val="none" w:sz="0" w:space="0" w:color="auto"/>
                <w:right w:val="none" w:sz="0" w:space="0" w:color="auto"/>
                <w:bar w:val="none" w:sz="0" w:color="auto"/>
              </w:pBdr>
              <w:rPr>
                <w:rFonts w:cs="Times New Roman"/>
              </w:rPr>
            </w:pPr>
            <w:r w:rsidRPr="00AF6311">
              <w:rPr>
                <w:rFonts w:ascii="Arial Narrow" w:hAnsi="Arial Narrow" w:cs="Arial Narrow"/>
                <w:sz w:val="18"/>
                <w:szCs w:val="18"/>
              </w:rPr>
              <w:t>oral examination</w:t>
            </w:r>
          </w:p>
        </w:tc>
      </w:tr>
      <w:tr w:rsidR="00817858">
        <w:trPr>
          <w:trHeight w:val="41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b/>
                <w:bCs/>
                <w:sz w:val="18"/>
                <w:szCs w:val="18"/>
                <w:lang w:val="en-US"/>
              </w:rPr>
              <w:t>Basic reference materials</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Pr="00EB3ADE" w:rsidRDefault="00817858" w:rsidP="00EB3ADE">
            <w:pPr>
              <w:pBdr>
                <w:top w:val="none" w:sz="0" w:space="0" w:color="auto"/>
                <w:left w:val="none" w:sz="0" w:space="0" w:color="auto"/>
                <w:bottom w:val="none" w:sz="0" w:space="0" w:color="auto"/>
                <w:right w:val="none" w:sz="0" w:space="0" w:color="auto"/>
                <w:bar w:val="none" w:sz="0" w:color="auto"/>
              </w:pBdr>
              <w:spacing w:after="0" w:line="240" w:lineRule="auto"/>
              <w:jc w:val="both"/>
            </w:pPr>
            <w:r w:rsidRPr="00EB3ADE">
              <w:t>A. de Haan, H. Bosch: Industrial Separation Processes, de Gryuter, 2017</w:t>
            </w:r>
          </w:p>
          <w:p w:rsidR="00817858" w:rsidRPr="00EB3ADE" w:rsidRDefault="00817858" w:rsidP="00EB3ADE">
            <w:pPr>
              <w:pBdr>
                <w:top w:val="none" w:sz="0" w:space="0" w:color="auto"/>
                <w:left w:val="none" w:sz="0" w:space="0" w:color="auto"/>
                <w:bottom w:val="none" w:sz="0" w:space="0" w:color="auto"/>
                <w:right w:val="none" w:sz="0" w:space="0" w:color="auto"/>
                <w:bar w:val="none" w:sz="0" w:color="auto"/>
              </w:pBdr>
              <w:spacing w:after="0" w:line="240" w:lineRule="auto"/>
              <w:jc w:val="both"/>
            </w:pPr>
            <w:r w:rsidRPr="00EB3ADE">
              <w:t>Gorak, A.; Schoenmakers, H. "Distillation: Operation and applications", Elsevier, 2015</w:t>
            </w:r>
          </w:p>
          <w:p w:rsidR="00817858" w:rsidRPr="00EB3ADE" w:rsidRDefault="00817858" w:rsidP="00EB3ADE">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EB3ADE">
              <w:t>J .A. Wesselingh, R. Krishna: "Mass Transfer in Multicomponent Mixtures", VSSD, Delft, 2006</w:t>
            </w:r>
          </w:p>
        </w:tc>
      </w:tr>
      <w:tr w:rsidR="00817858">
        <w:trPr>
          <w:trHeight w:val="21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b/>
                <w:bCs/>
                <w:sz w:val="18"/>
                <w:szCs w:val="18"/>
                <w:lang w:val="en-US"/>
              </w:rPr>
              <w:t>Other reference materials</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Pr="00EB3ADE" w:rsidRDefault="00817858" w:rsidP="00EB3ADE">
            <w:pPr>
              <w:pBdr>
                <w:top w:val="none" w:sz="0" w:space="0" w:color="auto"/>
                <w:left w:val="none" w:sz="0" w:space="0" w:color="auto"/>
                <w:bottom w:val="none" w:sz="0" w:space="0" w:color="auto"/>
                <w:right w:val="none" w:sz="0" w:space="0" w:color="auto"/>
                <w:bar w:val="none" w:sz="0" w:color="auto"/>
              </w:pBdr>
            </w:pPr>
            <w:r w:rsidRPr="00EB3ADE">
              <w:t xml:space="preserve">Kenig, E.; Górak, A.: "Modeling of Reactive Distillation" In: Modeling of process intensification (Eds. Keil, F.),   </w:t>
            </w:r>
            <w:r w:rsidRPr="00EB3ADE">
              <w:tab/>
              <w:t xml:space="preserve">Wiley-VCH, Weinheim, 2007;  </w:t>
            </w:r>
          </w:p>
          <w:p w:rsidR="00817858" w:rsidRPr="00EB3ADE" w:rsidRDefault="00817858" w:rsidP="00EB3ADE">
            <w:pPr>
              <w:pBdr>
                <w:top w:val="none" w:sz="0" w:space="0" w:color="auto"/>
                <w:left w:val="none" w:sz="0" w:space="0" w:color="auto"/>
                <w:bottom w:val="none" w:sz="0" w:space="0" w:color="auto"/>
                <w:right w:val="none" w:sz="0" w:space="0" w:color="auto"/>
                <w:bar w:val="none" w:sz="0" w:color="auto"/>
              </w:pBdr>
            </w:pPr>
            <w:r w:rsidRPr="00EB3ADE">
              <w:t>Gorak, A.; Olujic, Z. “Distillation: Equipment and processes", Elsevier, 2015</w:t>
            </w:r>
          </w:p>
          <w:p w:rsidR="00817858" w:rsidRPr="00EB3ADE" w:rsidRDefault="00817858" w:rsidP="00EB3ADE">
            <w:pPr>
              <w:pBdr>
                <w:top w:val="none" w:sz="0" w:space="0" w:color="auto"/>
                <w:left w:val="none" w:sz="0" w:space="0" w:color="auto"/>
                <w:bottom w:val="none" w:sz="0" w:space="0" w:color="auto"/>
                <w:right w:val="none" w:sz="0" w:space="0" w:color="auto"/>
                <w:bar w:val="none" w:sz="0" w:color="auto"/>
              </w:pBdr>
              <w:rPr>
                <w:rFonts w:cs="Times New Roman"/>
              </w:rPr>
            </w:pPr>
            <w:r w:rsidRPr="00EB3ADE">
              <w:t>Lutze, P.; Górak, A. (Eds.): "Reactive and Membrane-Assisted Separations", De Gruyter, 2016</w:t>
            </w:r>
          </w:p>
        </w:tc>
      </w:tr>
      <w:tr w:rsidR="00817858">
        <w:trPr>
          <w:trHeight w:val="41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b/>
                <w:bCs/>
                <w:sz w:val="18"/>
                <w:szCs w:val="18"/>
                <w:lang w:val="en-US"/>
              </w:rPr>
              <w:t>Average student workload outside classroom</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sz w:val="18"/>
                <w:szCs w:val="18"/>
                <w:lang w:val="en-US"/>
              </w:rPr>
              <w:t>10h</w:t>
            </w:r>
          </w:p>
        </w:tc>
      </w:tr>
      <w:tr w:rsidR="00817858">
        <w:trPr>
          <w:trHeight w:val="21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b/>
                <w:bCs/>
                <w:sz w:val="18"/>
                <w:szCs w:val="18"/>
                <w:lang w:val="en-US"/>
              </w:rPr>
              <w:t>Comments</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Default="00817858">
            <w:pPr>
              <w:pBdr>
                <w:top w:val="none" w:sz="0" w:space="0" w:color="auto"/>
                <w:left w:val="none" w:sz="0" w:space="0" w:color="auto"/>
                <w:bottom w:val="none" w:sz="0" w:space="0" w:color="auto"/>
                <w:right w:val="none" w:sz="0" w:space="0" w:color="auto"/>
                <w:bar w:val="none" w:sz="0" w:color="auto"/>
              </w:pBdr>
              <w:rPr>
                <w:rFonts w:cs="Times New Roman"/>
              </w:rPr>
            </w:pPr>
          </w:p>
        </w:tc>
      </w:tr>
      <w:tr w:rsidR="00817858">
        <w:trPr>
          <w:trHeight w:val="210"/>
        </w:trPr>
        <w:tc>
          <w:tcPr>
            <w:tcW w:w="2157" w:type="dxa"/>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tcPr>
          <w:p w:rsidR="00817858" w:rsidRDefault="00817858" w:rsidP="003D40B2">
            <w:pPr>
              <w:pBdr>
                <w:top w:val="none" w:sz="0" w:space="0" w:color="auto"/>
                <w:left w:val="none" w:sz="0" w:space="0" w:color="auto"/>
                <w:bottom w:val="none" w:sz="0" w:space="0" w:color="auto"/>
                <w:right w:val="none" w:sz="0" w:space="0" w:color="auto"/>
                <w:bar w:val="none" w:sz="0" w:color="auto"/>
              </w:pBdr>
              <w:spacing w:after="0" w:line="240" w:lineRule="auto"/>
              <w:jc w:val="both"/>
              <w:rPr>
                <w:rFonts w:cs="Times New Roman"/>
              </w:rPr>
            </w:pPr>
            <w:r w:rsidRPr="003D40B2">
              <w:rPr>
                <w:rFonts w:ascii="Arial Narrow" w:hAnsi="Arial Narrow" w:cs="Arial Narrow"/>
                <w:b/>
                <w:bCs/>
                <w:sz w:val="18"/>
                <w:szCs w:val="18"/>
                <w:lang w:val="en-US"/>
              </w:rPr>
              <w:t>Last update</w:t>
            </w:r>
          </w:p>
        </w:tc>
        <w:tc>
          <w:tcPr>
            <w:tcW w:w="6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17858" w:rsidRDefault="00817858">
            <w:pPr>
              <w:pBdr>
                <w:top w:val="none" w:sz="0" w:space="0" w:color="auto"/>
                <w:left w:val="none" w:sz="0" w:space="0" w:color="auto"/>
                <w:bottom w:val="none" w:sz="0" w:space="0" w:color="auto"/>
                <w:right w:val="none" w:sz="0" w:space="0" w:color="auto"/>
                <w:bar w:val="none" w:sz="0" w:color="auto"/>
              </w:pBdr>
              <w:rPr>
                <w:rFonts w:cs="Times New Roman"/>
              </w:rPr>
            </w:pPr>
          </w:p>
        </w:tc>
      </w:tr>
    </w:tbl>
    <w:p w:rsidR="00817858" w:rsidRDefault="00817858">
      <w:pPr>
        <w:widowControl w:val="0"/>
        <w:pBdr>
          <w:top w:val="none" w:sz="0" w:space="0" w:color="auto"/>
          <w:left w:val="none" w:sz="0" w:space="0" w:color="auto"/>
          <w:bottom w:val="none" w:sz="0" w:space="0" w:color="auto"/>
          <w:right w:val="none" w:sz="0" w:space="0" w:color="auto"/>
          <w:bar w:val="none" w:sz="0" w:color="auto"/>
        </w:pBdr>
        <w:spacing w:line="240" w:lineRule="auto"/>
        <w:rPr>
          <w:rFonts w:cs="Times New Roman"/>
        </w:rPr>
      </w:pPr>
    </w:p>
    <w:sectPr w:rsidR="00817858" w:rsidSect="00B42138">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58" w:rsidRDefault="00817858">
      <w:pPr>
        <w:pBdr>
          <w:top w:val="none" w:sz="0" w:space="0" w:color="auto"/>
          <w:left w:val="none" w:sz="0" w:space="0" w:color="auto"/>
          <w:bottom w:val="none" w:sz="0" w:space="0" w:color="auto"/>
          <w:right w:val="none" w:sz="0" w:space="0" w:color="auto"/>
          <w:bar w:val="none" w:sz="0" w:color="auto"/>
        </w:pBdr>
        <w:spacing w:after="0" w:line="240" w:lineRule="auto"/>
        <w:rPr>
          <w:rFonts w:cs="Times New Roman"/>
        </w:rPr>
      </w:pPr>
      <w:r>
        <w:rPr>
          <w:rFonts w:cs="Times New Roman"/>
        </w:rPr>
        <w:separator/>
      </w:r>
    </w:p>
  </w:endnote>
  <w:endnote w:type="continuationSeparator" w:id="0">
    <w:p w:rsidR="00817858" w:rsidRDefault="00817858">
      <w:pPr>
        <w:pBdr>
          <w:top w:val="none" w:sz="0" w:space="0" w:color="auto"/>
          <w:left w:val="none" w:sz="0" w:space="0" w:color="auto"/>
          <w:bottom w:val="none" w:sz="0" w:space="0" w:color="auto"/>
          <w:right w:val="none" w:sz="0" w:space="0" w:color="auto"/>
          <w:bar w:val="none" w:sz="0" w:color="auto"/>
        </w:pBd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58" w:rsidRDefault="00817858">
    <w:pPr>
      <w:pStyle w:val="Nagwekistopka"/>
      <w:pBdr>
        <w:top w:val="none" w:sz="0" w:space="0" w:color="auto"/>
        <w:left w:val="none" w:sz="0" w:space="0" w:color="auto"/>
        <w:bottom w:val="none" w:sz="0" w:space="0" w:color="auto"/>
        <w:right w:val="none" w:sz="0" w:space="0" w:color="auto"/>
        <w:bar w:val="none" w:sz="0" w:color="auto"/>
      </w:pBd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58" w:rsidRDefault="00817858">
      <w:pPr>
        <w:pBdr>
          <w:top w:val="none" w:sz="0" w:space="0" w:color="auto"/>
          <w:left w:val="none" w:sz="0" w:space="0" w:color="auto"/>
          <w:bottom w:val="none" w:sz="0" w:space="0" w:color="auto"/>
          <w:right w:val="none" w:sz="0" w:space="0" w:color="auto"/>
          <w:bar w:val="none" w:sz="0" w:color="auto"/>
        </w:pBdr>
        <w:spacing w:after="0" w:line="240" w:lineRule="auto"/>
        <w:rPr>
          <w:rFonts w:cs="Times New Roman"/>
        </w:rPr>
      </w:pPr>
      <w:r>
        <w:rPr>
          <w:rFonts w:cs="Times New Roman"/>
        </w:rPr>
        <w:separator/>
      </w:r>
    </w:p>
  </w:footnote>
  <w:footnote w:type="continuationSeparator" w:id="0">
    <w:p w:rsidR="00817858" w:rsidRDefault="00817858">
      <w:pPr>
        <w:pBdr>
          <w:top w:val="none" w:sz="0" w:space="0" w:color="auto"/>
          <w:left w:val="none" w:sz="0" w:space="0" w:color="auto"/>
          <w:bottom w:val="none" w:sz="0" w:space="0" w:color="auto"/>
          <w:right w:val="none" w:sz="0" w:space="0" w:color="auto"/>
          <w:bar w:val="none" w:sz="0" w:color="auto"/>
        </w:pBd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58" w:rsidRDefault="00817858">
    <w:pPr>
      <w:pStyle w:val="Nagwekistopka"/>
      <w:pBdr>
        <w:top w:val="none" w:sz="0" w:space="0" w:color="auto"/>
        <w:left w:val="none" w:sz="0" w:space="0" w:color="auto"/>
        <w:bottom w:val="none" w:sz="0" w:space="0" w:color="auto"/>
        <w:right w:val="none" w:sz="0" w:space="0" w:color="auto"/>
        <w:bar w:val="none" w:sz="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12A"/>
    <w:rsid w:val="00076CB3"/>
    <w:rsid w:val="000C56A0"/>
    <w:rsid w:val="0010012A"/>
    <w:rsid w:val="00154ABD"/>
    <w:rsid w:val="001B272A"/>
    <w:rsid w:val="003D40B2"/>
    <w:rsid w:val="003F7421"/>
    <w:rsid w:val="00486C7E"/>
    <w:rsid w:val="00572DCC"/>
    <w:rsid w:val="005D62D4"/>
    <w:rsid w:val="005F40FE"/>
    <w:rsid w:val="007F6F54"/>
    <w:rsid w:val="00817858"/>
    <w:rsid w:val="00904517"/>
    <w:rsid w:val="00AF6311"/>
    <w:rsid w:val="00AF63E2"/>
    <w:rsid w:val="00B42138"/>
    <w:rsid w:val="00B979E7"/>
    <w:rsid w:val="00BC4FA6"/>
    <w:rsid w:val="00CD5AA5"/>
    <w:rsid w:val="00EB3ADE"/>
    <w:rsid w:val="00EF29E1"/>
    <w:rsid w:val="00F25373"/>
    <w:rsid w:val="00FA3AD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2138"/>
    <w:rPr>
      <w:u w:val="single"/>
    </w:rPr>
  </w:style>
  <w:style w:type="table" w:customStyle="1" w:styleId="TableNormal1">
    <w:name w:val="Table Normal1"/>
    <w:uiPriority w:val="99"/>
    <w:rsid w:val="00B42138"/>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en-GB" w:eastAsia="en-GB"/>
    </w:rPr>
    <w:tblPr>
      <w:tblCellMar>
        <w:top w:w="0" w:type="dxa"/>
        <w:left w:w="0" w:type="dxa"/>
        <w:bottom w:w="0" w:type="dxa"/>
        <w:right w:w="0" w:type="dxa"/>
      </w:tblCellMar>
    </w:tblPr>
  </w:style>
  <w:style w:type="paragraph" w:customStyle="1" w:styleId="Nagwekistopka">
    <w:name w:val="Nagłówek i stopka"/>
    <w:uiPriority w:val="99"/>
    <w:rsid w:val="00B4213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Helvetica Neue"/>
      <w:color w:val="000000"/>
      <w:sz w:val="24"/>
      <w:szCs w:val="24"/>
      <w:lang w:val="en-GB" w:eastAsia="en-GB"/>
    </w:rPr>
  </w:style>
  <w:style w:type="paragraph" w:customStyle="1" w:styleId="Tre">
    <w:name w:val="Treść"/>
    <w:uiPriority w:val="99"/>
    <w:rsid w:val="00B4213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505</Words>
  <Characters>3036</Characters>
  <Application>Microsoft Office Outlook</Application>
  <DocSecurity>0</DocSecurity>
  <Lines>0</Lines>
  <Paragraphs>0</Paragraphs>
  <ScaleCrop>false</ScaleCrop>
  <Company>Wydział Inżynierii Procesowej i Ochrony Środowiska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and description</dc:title>
  <dc:subject/>
  <dc:creator>Marcin Bizukojć</dc:creator>
  <cp:keywords/>
  <dc:description/>
  <cp:lastModifiedBy>Marcin Bizukojć</cp:lastModifiedBy>
  <cp:revision>7</cp:revision>
  <dcterms:created xsi:type="dcterms:W3CDTF">2019-04-16T10:50:00Z</dcterms:created>
  <dcterms:modified xsi:type="dcterms:W3CDTF">2019-04-17T07:27:00Z</dcterms:modified>
</cp:coreProperties>
</file>