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12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UMOWA KONSORCJUM</w:t>
      </w:r>
    </w:p>
    <w:p>
      <w:pPr>
        <w:pStyle w:val="Normal"/>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zawarta w ………… w dniu ……….… </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pomiędzy:</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b/>
          <w:sz w:val="24"/>
          <w:szCs w:val="24"/>
          <w:lang w:eastAsia="ar-SA"/>
        </w:rPr>
        <w:t xml:space="preserve">Politechniką Łódzką, Wydział … </w:t>
      </w:r>
      <w:r>
        <w:rPr>
          <w:rFonts w:eastAsia="Calibri" w:cs="Times New Roman" w:ascii="Times New Roman" w:hAnsi="Times New Roman"/>
          <w:sz w:val="24"/>
          <w:szCs w:val="24"/>
          <w:lang w:eastAsia="ar-SA"/>
        </w:rPr>
        <w:t>z siedzibą w Łodzi przy ul. Żeromskiego 116, 90-924 Łódź, NIP 727-002-18-95, REGON: 000001583, reprezentowaną przez:</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prof. dr hab. inż. Sławomira Wiaka, Rektora Politechniki Łódzkiej z kontrasygnatą finansową mgr Agnieszki Kobalczyk, Kwestora Politechniki Łódzkiej,</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zwaną dalej Liderem Konsorcjum</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a</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zwanym Konsorcjantem nr 1 lub Partnerem Konsorcjum</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zwanym Konsorcjantem nr 2 lub Partnerem Konsorcjum</w:t>
      </w:r>
    </w:p>
    <w:p>
      <w:pPr>
        <w:pStyle w:val="Normal"/>
        <w:suppressAutoHyphens w:val="true"/>
        <w:spacing w:lineRule="auto" w:line="276" w:before="0" w:after="0"/>
        <w:ind w:left="426" w:right="-648"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zwaną Konsorcjantem nr 3 lub Partnerem Konsorcjum</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zwaną Konsorcjantem nr 4 lub Partnerem Konsorcjum</w:t>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76" w:before="0" w:after="0"/>
        <w:ind w:left="426" w:right="-648"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dalej zwanymi łącznie Stronami lub Konsorcjantami. </w:t>
      </w:r>
    </w:p>
    <w:p>
      <w:pPr>
        <w:pStyle w:val="Normal"/>
        <w:suppressAutoHyphens w:val="true"/>
        <w:spacing w:lineRule="auto" w:line="276" w:before="0" w:after="0"/>
        <w:ind w:left="426" w:hanging="0"/>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1</w:t>
      </w:r>
    </w:p>
    <w:p>
      <w:pPr>
        <w:pStyle w:val="Normal"/>
        <w:suppressAutoHyphens w:val="true"/>
        <w:spacing w:lineRule="auto" w:line="240" w:before="0" w:after="0"/>
        <w:ind w:left="426" w:hanging="567"/>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Słownik Umowy</w:t>
      </w:r>
    </w:p>
    <w:p>
      <w:pPr>
        <w:pStyle w:val="Normal"/>
        <w:suppressAutoHyphens w:val="true"/>
        <w:spacing w:lineRule="auto" w:line="240" w:before="0" w:after="0"/>
        <w:ind w:left="426" w:hanging="567"/>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0" w:after="12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sz w:val="24"/>
          <w:szCs w:val="24"/>
          <w:lang w:eastAsia="ar-SA"/>
        </w:rPr>
        <w:t>Ilekroć w niniejszej Umowie jest mowa o:</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Beneficjent Projektu </w:t>
      </w:r>
      <w:r>
        <w:rPr>
          <w:rFonts w:eastAsia="Calibri" w:cs="Times New Roman" w:ascii="Times New Roman" w:hAnsi="Times New Roman"/>
          <w:sz w:val="24"/>
          <w:szCs w:val="24"/>
          <w:lang w:eastAsia="ar-SA"/>
        </w:rPr>
        <w:t>- należy przez to rozumieć Lidera Konsorcjum oraz Partnerów Konsorcjum utworzonego w celu realizacji niniejszego Projektu;</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Biuro Projektu </w:t>
      </w:r>
      <w:r>
        <w:rPr>
          <w:rFonts w:eastAsia="Calibri" w:cs="Times New Roman" w:ascii="Times New Roman" w:hAnsi="Times New Roman"/>
          <w:sz w:val="24"/>
          <w:szCs w:val="24"/>
          <w:lang w:eastAsia="ar-SA"/>
        </w:rPr>
        <w:t xml:space="preserve">albo </w:t>
      </w:r>
      <w:r>
        <w:rPr>
          <w:rFonts w:eastAsia="Calibri" w:cs="Times New Roman" w:ascii="Times New Roman" w:hAnsi="Times New Roman"/>
          <w:b/>
          <w:bCs/>
          <w:sz w:val="24"/>
          <w:szCs w:val="24"/>
          <w:lang w:eastAsia="ar-SA"/>
        </w:rPr>
        <w:t>Biuro Lidera</w:t>
      </w:r>
      <w:r>
        <w:rPr>
          <w:rFonts w:eastAsia="Calibri" w:cs="Times New Roman" w:ascii="Times New Roman" w:hAnsi="Times New Roman"/>
          <w:sz w:val="24"/>
          <w:szCs w:val="24"/>
          <w:lang w:eastAsia="ar-SA"/>
        </w:rPr>
        <w:t xml:space="preserve"> oznacza jednostkę organizacyjną w ramach struktury organizacyjnej Lidera Konsorcjum i przez niego prowadzoną;</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Dofinansowanie – </w:t>
      </w:r>
      <w:r>
        <w:rPr>
          <w:rFonts w:eastAsia="Calibri" w:cs="Times New Roman" w:ascii="Times New Roman" w:hAnsi="Times New Roman"/>
          <w:sz w:val="24"/>
          <w:szCs w:val="24"/>
          <w:lang w:eastAsia="ar-SA"/>
        </w:rPr>
        <w:t>należy przez to rozumieć środki publiczne przyznane na sfinansowanie części kosztów kwalifikowanych poniesionych w ramach realizacji Projektu;</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Kierownik Projektu </w:t>
      </w:r>
      <w:r>
        <w:rPr>
          <w:rFonts w:eastAsia="Calibri" w:cs="Times New Roman" w:ascii="Times New Roman" w:hAnsi="Times New Roman"/>
          <w:sz w:val="24"/>
          <w:szCs w:val="24"/>
          <w:lang w:eastAsia="ar-SA"/>
        </w:rPr>
        <w:t>oznacza osobę kierującą Projektem;</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Konsorcjum – </w:t>
      </w:r>
      <w:r>
        <w:rPr>
          <w:rFonts w:eastAsia="Calibri" w:cs="Times New Roman" w:ascii="Times New Roman" w:hAnsi="Times New Roman"/>
          <w:sz w:val="24"/>
          <w:szCs w:val="24"/>
          <w:lang w:eastAsia="ar-SA"/>
        </w:rPr>
        <w:t>oznacza Konsorcjum powołane na podstawie niniejszej Umowy pomiędzy Partnerami, podejmujących realizację wspólnego Projektu obejmującego badania przemysłowe i prace rozwojowe albo prace rozwojowe;</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Koszty kwalifikowane </w:t>
      </w:r>
      <w:r>
        <w:rPr>
          <w:rFonts w:eastAsia="Calibri" w:cs="Times New Roman" w:ascii="Times New Roman" w:hAnsi="Times New Roman"/>
          <w:sz w:val="24"/>
          <w:szCs w:val="24"/>
          <w:lang w:eastAsia="ar-SA"/>
        </w:rPr>
        <w:t xml:space="preserve">– należy przez to rozumieć koszty kwalifikowane zgodne </w:t>
        <w:br/>
        <w:t xml:space="preserve">z Wytycznymi w zakresie kwalifikowalności wydatków w zakresie Europejskiego Funduszu Rozwoju Regionalnego, Europejskiego Funduszu Społecznego oraz Funduszu Spójności na lata 2014-2020, Wytycznymi w zakresie kwalifikowalności wydatków </w:t>
        <w:br/>
        <w:t xml:space="preserve">w ramach Programu Operacyjnego Inteligentny Rozwój 2014-2020 oraz </w:t>
      </w:r>
      <w:r>
        <w:rPr>
          <w:rFonts w:eastAsia="Calibri" w:cs="Times New Roman" w:ascii="Times New Roman" w:hAnsi="Times New Roman"/>
          <w:sz w:val="24"/>
          <w:szCs w:val="24"/>
          <w:shd w:fill="FFFFFF" w:val="clear"/>
          <w:lang w:eastAsia="ar-SA"/>
        </w:rPr>
        <w:t xml:space="preserve">Przewodnikiem kwalifikowalności kosztów dla projektów składanych w konkursie ogłoszonym </w:t>
      </w:r>
      <w:r>
        <w:rPr>
          <w:rFonts w:eastAsia="Calibri" w:cs="Times New Roman" w:ascii="Times New Roman" w:hAnsi="Times New Roman"/>
          <w:sz w:val="24"/>
          <w:szCs w:val="24"/>
          <w:lang w:eastAsia="ar-SA"/>
        </w:rPr>
        <w:t>w 2019 r. w ramach Poddziałania  4.1.4</w:t>
      </w:r>
      <w:r>
        <w:rPr>
          <w:rFonts w:eastAsia="Calibri" w:cs="Times New Roman" w:ascii="Times New Roman" w:hAnsi="Times New Roman"/>
          <w:b/>
          <w:bCs/>
          <w:sz w:val="24"/>
          <w:szCs w:val="24"/>
          <w:lang w:eastAsia="ar-SA"/>
        </w:rPr>
        <w:t xml:space="preserve"> </w:t>
      </w:r>
      <w:r>
        <w:rPr>
          <w:rFonts w:eastAsia="Calibri" w:cs="Times New Roman" w:ascii="Times New Roman" w:hAnsi="Times New Roman"/>
          <w:sz w:val="24"/>
          <w:szCs w:val="24"/>
          <w:lang w:eastAsia="ar-SA"/>
        </w:rPr>
        <w:t>PO IR, będącym załącznikiem do Regulaminu przeprowadzania konkursu, stanowiącym katalog możliwych do poniesienia kosztów kwalifikowanych;</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Lider Konsorcjum </w:t>
      </w:r>
      <w:r>
        <w:rPr>
          <w:rFonts w:eastAsia="Calibri" w:cs="Times New Roman" w:ascii="Times New Roman" w:hAnsi="Times New Roman"/>
          <w:sz w:val="24"/>
          <w:szCs w:val="24"/>
          <w:lang w:eastAsia="ar-SA"/>
        </w:rPr>
        <w:t xml:space="preserve">– </w:t>
      </w:r>
      <w:r>
        <w:rPr>
          <w:rFonts w:eastAsia="Calibri" w:cs="Times New Roman" w:ascii="Times New Roman" w:hAnsi="Times New Roman"/>
          <w:bCs/>
          <w:sz w:val="24"/>
          <w:szCs w:val="24"/>
          <w:lang w:eastAsia="ar-SA"/>
        </w:rPr>
        <w:t>Politechnika Łódzka</w:t>
      </w:r>
      <w:r>
        <w:rPr>
          <w:rFonts w:eastAsia="Calibri" w:cs="Times New Roman" w:ascii="Times New Roman" w:hAnsi="Times New Roman"/>
          <w:b/>
          <w:sz w:val="24"/>
          <w:szCs w:val="24"/>
          <w:lang w:eastAsia="ar-SA"/>
        </w:rPr>
        <w:t xml:space="preserve"> </w:t>
      </w:r>
      <w:r>
        <w:rPr>
          <w:rFonts w:eastAsia="Calibri" w:cs="Times New Roman" w:ascii="Times New Roman" w:hAnsi="Times New Roman"/>
          <w:sz w:val="24"/>
          <w:szCs w:val="24"/>
          <w:lang w:eastAsia="ar-SA"/>
        </w:rPr>
        <w:t>- reprezentuje Konsorcjum wobec podmiotów zewnętrznych;</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Okres kwalifikowalności kosztów </w:t>
      </w:r>
      <w:r>
        <w:rPr>
          <w:rFonts w:eastAsia="Calibri" w:cs="Times New Roman" w:ascii="Times New Roman" w:hAnsi="Times New Roman"/>
          <w:sz w:val="24"/>
          <w:szCs w:val="24"/>
          <w:lang w:eastAsia="ar-SA"/>
        </w:rPr>
        <w:t>- należy przez to rozumieć pełny okres realizacji rzeczowej i finansowej Projektu, w którym mogą być ponoszone koszty;</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Partnerstwo </w:t>
      </w:r>
      <w:r>
        <w:rPr>
          <w:rFonts w:eastAsia="Calibri" w:cs="Times New Roman" w:ascii="Times New Roman" w:hAnsi="Times New Roman"/>
          <w:sz w:val="24"/>
          <w:szCs w:val="24"/>
          <w:lang w:eastAsia="ar-SA"/>
        </w:rPr>
        <w:t>oznacza Partnerstwo powołane na podstawie niniejszej Umowy pomiędzy Liderem Konsorcjum i  Partnerami;</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Program </w:t>
      </w:r>
      <w:r>
        <w:rPr>
          <w:rFonts w:eastAsia="Calibri" w:cs="Times New Roman" w:ascii="Times New Roman" w:hAnsi="Times New Roman"/>
          <w:sz w:val="24"/>
          <w:szCs w:val="24"/>
          <w:lang w:eastAsia="ar-SA"/>
        </w:rPr>
        <w:t>- Program Operacyjny Inteligentny Rozwój 2014 – 2020;</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Projekt - </w:t>
      </w:r>
      <w:r>
        <w:rPr>
          <w:rFonts w:eastAsia="Calibri" w:cs="Times New Roman" w:ascii="Times New Roman" w:hAnsi="Times New Roman"/>
          <w:sz w:val="24"/>
          <w:szCs w:val="24"/>
          <w:lang w:eastAsia="ar-SA"/>
        </w:rPr>
        <w:t>należy przez to rozumieć przedsięwzięcie realizowane w ramach Programu NCBR: IV Osi priorytetowej: „Zwiększenie potencjału naukowo-badawczego” Programu Operacyjnego Inteligentny Rozwój 2014 – 2020, Poddziałania 4.1.4, na podstawie Umowy o dofinansowanie;</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sz w:val="24"/>
          <w:szCs w:val="24"/>
          <w:lang w:eastAsia="ar-SA"/>
        </w:rPr>
      </w:pPr>
      <w:r>
        <w:rPr>
          <w:rFonts w:eastAsia="Calibri" w:cs="Times New Roman" w:ascii="Times New Roman" w:hAnsi="Times New Roman"/>
          <w:b/>
          <w:bCs/>
          <w:sz w:val="24"/>
          <w:szCs w:val="24"/>
          <w:lang w:eastAsia="ar-SA"/>
        </w:rPr>
        <w:t xml:space="preserve">Siła wyższa – </w:t>
      </w:r>
      <w:r>
        <w:rPr>
          <w:rFonts w:eastAsia="Calibri" w:cs="Times New Roman" w:ascii="Times New Roman" w:hAnsi="Times New Roman"/>
          <w:sz w:val="24"/>
          <w:szCs w:val="24"/>
          <w:lang w:eastAsia="ar-SA"/>
        </w:rPr>
        <w:t>należy przez to rozumieć zdarzenie, bądź połączenie zdarzeń, niezależnych od Stron, które uniemożliwiają w całości lub części wykonywanie zobowiązań wynikających z Umowy, których strony nie mogły przewidzieć i którym nie mogły zapobiec, ani ich przezwyciężyć, poprzez działanie z należytą starannością;</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Wniosek o dofinansowanie</w:t>
      </w:r>
      <w:r>
        <w:rPr>
          <w:rFonts w:eastAsia="Calibri" w:cs="Times New Roman" w:ascii="Times New Roman" w:hAnsi="Times New Roman"/>
          <w:sz w:val="24"/>
          <w:szCs w:val="24"/>
          <w:lang w:eastAsia="ar-SA"/>
        </w:rPr>
        <w:t xml:space="preserve"> – należy przez to rozumieć wniosek złożony przez beneficjenta w celu uzyskania dofinansowania;</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 xml:space="preserve">Prace B+R – </w:t>
      </w:r>
      <w:r>
        <w:rPr>
          <w:rFonts w:eastAsia="Calibri" w:cs="Times New Roman" w:ascii="Times New Roman" w:hAnsi="Times New Roman"/>
          <w:bCs/>
          <w:sz w:val="24"/>
          <w:szCs w:val="24"/>
          <w:lang w:eastAsia="ar-SA"/>
        </w:rPr>
        <w:t>badania przemysłowe i eksperymentalne prace rozwojowe lub same eksperymentalne prace rozwojowe, które mogą być uzupełnione o prace przedwdrożeniowe;</w:t>
      </w:r>
    </w:p>
    <w:p>
      <w:pPr>
        <w:pStyle w:val="Normal"/>
        <w:numPr>
          <w:ilvl w:val="0"/>
          <w:numId w:val="2"/>
        </w:numPr>
        <w:suppressAutoHyphens w:val="true"/>
        <w:spacing w:lineRule="auto" w:line="240" w:before="0" w:after="0"/>
        <w:ind w:left="426" w:hanging="142"/>
        <w:jc w:val="both"/>
        <w:rPr>
          <w:rFonts w:ascii="Times New Roman" w:hAnsi="Times New Roman" w:eastAsia="Calibri" w:cs="Times New Roman"/>
          <w:bCs/>
          <w:sz w:val="24"/>
          <w:szCs w:val="24"/>
          <w:lang w:eastAsia="ar-SA"/>
        </w:rPr>
      </w:pPr>
      <w:r>
        <w:rPr>
          <w:rFonts w:eastAsia="Calibri" w:cs="Times New Roman" w:ascii="Times New Roman" w:hAnsi="Times New Roman"/>
          <w:b/>
          <w:sz w:val="24"/>
          <w:szCs w:val="24"/>
          <w:lang w:eastAsia="ar-SA"/>
        </w:rPr>
        <w:t xml:space="preserve">Prace przedwdrożeniowe – </w:t>
      </w:r>
      <w:r>
        <w:rPr>
          <w:rFonts w:eastAsia="Calibri" w:cs="Times New Roman" w:ascii="Times New Roman" w:hAnsi="Times New Roman"/>
          <w:bCs/>
          <w:sz w:val="24"/>
          <w:szCs w:val="24"/>
          <w:lang w:eastAsia="ar-SA"/>
        </w:rPr>
        <w:t>prace będące działaniami przygotowawczymi do wdrożenia wyników badań przemysłowych i eksperymentalnych prac rozwojowych w działalności gospodarczej, umożliwiające doprowadzenie rozwiązania będącego przedmiotem projektu do etapu, kiedy będzie można je skomercjalizować (w szczególności może to być opracowanie dokumentacji wdrożeniowej, usługi rzecznika patentowego, testy, certyfikacja, badania rynku).</w:t>
      </w:r>
    </w:p>
    <w:p>
      <w:pPr>
        <w:pStyle w:val="Normal"/>
        <w:suppressAutoHyphens w:val="true"/>
        <w:spacing w:lineRule="auto" w:line="240" w:before="120" w:after="0"/>
        <w:ind w:left="426" w:hanging="142"/>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2</w:t>
      </w:r>
    </w:p>
    <w:p>
      <w:pPr>
        <w:pStyle w:val="Normal"/>
        <w:suppressAutoHyphens w:val="true"/>
        <w:spacing w:lineRule="auto" w:line="240" w:before="0" w:after="0"/>
        <w:ind w:left="426" w:hanging="142"/>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Przedmiot Umowy oraz działalności Konsorcjum</w:t>
      </w:r>
    </w:p>
    <w:p>
      <w:pPr>
        <w:pStyle w:val="Normal"/>
        <w:suppressAutoHyphens w:val="true"/>
        <w:spacing w:lineRule="auto" w:line="240" w:before="0" w:after="0"/>
        <w:ind w:left="426" w:hanging="142"/>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numPr>
          <w:ilvl w:val="0"/>
          <w:numId w:val="3"/>
        </w:numPr>
        <w:suppressAutoHyphens w:val="true"/>
        <w:spacing w:lineRule="auto" w:line="240" w:before="0" w:after="0"/>
        <w:ind w:left="426" w:hanging="142"/>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Partnerzy zawierający Umowę ustanawiają konsorcjum naukowo-przemysłowe „Konsorcjum naukowo-przemysłowe”, zwane dalej Konsorcjum.</w:t>
      </w:r>
    </w:p>
    <w:p>
      <w:pPr>
        <w:pStyle w:val="Normal"/>
        <w:numPr>
          <w:ilvl w:val="0"/>
          <w:numId w:val="3"/>
        </w:numPr>
        <w:suppressAutoHyphens w:val="true"/>
        <w:spacing w:lineRule="auto" w:line="240" w:before="0" w:after="0"/>
        <w:ind w:left="426" w:hanging="142"/>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Celem działalności jest realizacja wspólnego projektu obejmującego badania i eksperymentalne prace rozwojowe albo eksperymentalne prace rozwojowe pt. „</w:t>
      </w:r>
      <w:r>
        <w:rPr>
          <w:rFonts w:eastAsia="Calibri" w:cs="Times New Roman" w:ascii="Times New Roman" w:hAnsi="Times New Roman"/>
          <w:b/>
          <w:sz w:val="24"/>
          <w:szCs w:val="24"/>
          <w:lang w:eastAsia="ar-SA"/>
        </w:rPr>
        <w:t>…………………………….</w:t>
      </w:r>
      <w:r>
        <w:rPr>
          <w:rFonts w:eastAsia="Calibri" w:cs="Times New Roman" w:ascii="Times New Roman" w:hAnsi="Times New Roman"/>
          <w:sz w:val="24"/>
          <w:szCs w:val="24"/>
          <w:lang w:eastAsia="ar-SA"/>
        </w:rPr>
        <w:t>” zwanego w dalszej części Umowy Projektem.</w:t>
      </w:r>
    </w:p>
    <w:p>
      <w:pPr>
        <w:pStyle w:val="Normal"/>
        <w:numPr>
          <w:ilvl w:val="0"/>
          <w:numId w:val="3"/>
        </w:numPr>
        <w:suppressAutoHyphens w:val="true"/>
        <w:spacing w:lineRule="auto" w:line="240" w:before="0" w:after="0"/>
        <w:ind w:left="426" w:hanging="142"/>
        <w:jc w:val="both"/>
        <w:rPr>
          <w:rFonts w:ascii="Times New Roman" w:hAnsi="Times New Roman" w:eastAsia="Calibri" w:cs="Times New Roman"/>
          <w:sz w:val="24"/>
          <w:szCs w:val="24"/>
          <w:lang w:eastAsia="ar-SA"/>
        </w:rPr>
      </w:pPr>
      <w:r>
        <w:rPr>
          <w:rFonts w:eastAsia="Calibri" w:cs="Times New Roman" w:ascii="Times New Roman" w:hAnsi="Times New Roman"/>
          <w:iCs/>
          <w:sz w:val="24"/>
          <w:szCs w:val="24"/>
          <w:lang w:eastAsia="ar-SA"/>
        </w:rPr>
        <w:t>Ponadto celem Konsorcjum jest:</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Przygotowanie i  realizacja Projektu „</w:t>
      </w:r>
      <w:r>
        <w:rPr>
          <w:rFonts w:eastAsia="Calibri" w:cs="Times New Roman" w:ascii="Times New Roman" w:hAnsi="Times New Roman"/>
          <w:b/>
          <w:sz w:val="24"/>
          <w:szCs w:val="24"/>
          <w:lang w:eastAsia="ar-SA"/>
        </w:rPr>
        <w:t>……………………</w:t>
      </w:r>
      <w:r>
        <w:rPr>
          <w:rFonts w:eastAsia="Calibri" w:cs="Times New Roman" w:ascii="Times New Roman" w:hAnsi="Times New Roman"/>
          <w:sz w:val="24"/>
          <w:szCs w:val="24"/>
          <w:lang w:eastAsia="ar-SA"/>
        </w:rPr>
        <w:t>” w ramach IV Osi priorytetowej: „Zwiększenie potencjału naukowo-badawczego” Programu Operacyjnego Inteligentny Rozwój 2014 – 2020, Poddziałania 4.1.4 realizowanego przez Narodowe Centrum Badań i Rozwoju (zwane w dalszej części Umowy „NCBR”).</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Przygotowanie Wniosku o dofinansowanie ww. Projektu;</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Realizacja celów i zadań określonych w Umowie o dofinansowanie Projektu; Lider Konsorcjum i Partnerzy Konsorcjum zobowiązują się do osiągnięcia celów i wskaźników zadeklarowanych we Wniosku o dofinansowanie;</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Wymiana informacji między Partnerami w zakresie realizowanego Projektu;</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Rozliczanie otrzymanego dofinansowania;</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Wspólne promowanie wyników badań realizowanego Projektu;</w:t>
      </w:r>
    </w:p>
    <w:p>
      <w:pPr>
        <w:pStyle w:val="Normal"/>
        <w:numPr>
          <w:ilvl w:val="0"/>
          <w:numId w:val="4"/>
        </w:numPr>
        <w:suppressAutoHyphens w:val="true"/>
        <w:spacing w:lineRule="auto" w:line="240" w:before="0" w:after="0"/>
        <w:ind w:left="426" w:hanging="36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Utrzymywanie i propagowanie wśród Partnerów wysokiego standardu realizowania prac badawczych;</w:t>
      </w:r>
    </w:p>
    <w:p>
      <w:pPr>
        <w:pStyle w:val="Normal"/>
        <w:numPr>
          <w:ilvl w:val="0"/>
          <w:numId w:val="5"/>
        </w:numPr>
        <w:suppressAutoHyphens w:val="true"/>
        <w:spacing w:lineRule="auto" w:line="240" w:before="0" w:after="0"/>
        <w:ind w:left="426" w:hanging="360"/>
        <w:jc w:val="both"/>
        <w:rPr>
          <w:rFonts w:ascii="Times New Roman" w:hAnsi="Times New Roman" w:eastAsia="Calibri" w:cs="Times New Roman"/>
          <w:b/>
          <w:b/>
          <w:bCs/>
          <w:sz w:val="24"/>
          <w:szCs w:val="24"/>
          <w:lang w:eastAsia="ar-SA"/>
        </w:rPr>
      </w:pPr>
      <w:r>
        <w:rPr>
          <w:rFonts w:eastAsia="Calibri" w:cs="Times New Roman" w:ascii="Times New Roman" w:hAnsi="Times New Roman"/>
          <w:sz w:val="24"/>
          <w:szCs w:val="24"/>
          <w:lang w:eastAsia="ar-SA"/>
        </w:rPr>
        <w:t xml:space="preserve">Reprezentowanie Partnerów – w zakresie związanym z realizowanym Projektem – w kontaktach z instytucjami rządowymi, samorządowymi, jednostkami naukowymi </w:t>
        <w:br/>
        <w:t>i podmiotami gospodarczymi.</w:t>
      </w:r>
    </w:p>
    <w:p>
      <w:pPr>
        <w:pStyle w:val="Normal"/>
        <w:suppressAutoHyphens w:val="true"/>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120" w:after="0"/>
        <w:ind w:left="426" w:hanging="0"/>
        <w:jc w:val="center"/>
        <w:rPr>
          <w:rFonts w:ascii="Times New Roman" w:hAnsi="Times New Roman" w:eastAsia="Calibri" w:cs="Times New Roman"/>
          <w:lang w:eastAsia="ar-SA"/>
        </w:rPr>
      </w:pPr>
      <w:r>
        <w:rPr>
          <w:rFonts w:eastAsia="Calibri" w:cs="Times New Roman" w:ascii="Times New Roman" w:hAnsi="Times New Roman"/>
          <w:b/>
          <w:bCs/>
          <w:sz w:val="24"/>
          <w:szCs w:val="24"/>
          <w:lang w:eastAsia="ar-SA"/>
        </w:rPr>
        <w:t>§ 3</w:t>
      </w:r>
    </w:p>
    <w:p>
      <w:pPr>
        <w:pStyle w:val="Normal"/>
        <w:keepNext/>
        <w:numPr>
          <w:ilvl w:val="1"/>
          <w:numId w:val="1"/>
        </w:numPr>
        <w:suppressAutoHyphens w:val="true"/>
        <w:spacing w:lineRule="auto" w:line="240" w:before="0" w:after="0"/>
        <w:ind w:left="426" w:hanging="576"/>
        <w:jc w:val="center"/>
        <w:outlineLvl w:val="1"/>
        <w:rPr>
          <w:rFonts w:ascii="Arial" w:hAnsi="Arial" w:eastAsia="Calibri" w:cs="Times New Roman"/>
          <w:b/>
          <w:b/>
          <w:bCs/>
          <w:sz w:val="24"/>
          <w:szCs w:val="24"/>
          <w:lang w:val="x-none" w:eastAsia="ar-SA"/>
        </w:rPr>
      </w:pPr>
      <w:r>
        <w:rPr>
          <w:rFonts w:eastAsia="Calibri" w:cs="Times New Roman" w:ascii="Times New Roman" w:hAnsi="Times New Roman"/>
          <w:b/>
          <w:bCs/>
          <w:sz w:val="24"/>
          <w:szCs w:val="24"/>
          <w:lang w:eastAsia="ar-SA"/>
        </w:rPr>
        <w:t>Z</w:t>
      </w:r>
      <w:r>
        <w:rPr>
          <w:rFonts w:eastAsia="Calibri" w:cs="Times New Roman" w:ascii="Times New Roman" w:hAnsi="Times New Roman"/>
          <w:b/>
          <w:bCs/>
          <w:sz w:val="24"/>
          <w:szCs w:val="24"/>
          <w:lang w:val="x-none" w:eastAsia="ar-SA"/>
        </w:rPr>
        <w:t>adania i obowiązki Lidera Konsorcjum w związku z realizacją Projektu</w:t>
      </w:r>
    </w:p>
    <w:p>
      <w:pPr>
        <w:pStyle w:val="Normal"/>
        <w:suppressAutoHyphens w:val="true"/>
        <w:spacing w:lineRule="auto" w:line="240" w:before="0" w:after="0"/>
        <w:ind w:left="426" w:hanging="0"/>
        <w:jc w:val="both"/>
        <w:rPr>
          <w:rFonts w:ascii="Calibri" w:hAnsi="Calibri" w:eastAsia="Calibri" w:cs="Calibri"/>
          <w:lang w:eastAsia="ar-SA"/>
        </w:rPr>
      </w:pPr>
      <w:r>
        <w:rPr>
          <w:rFonts w:eastAsia="Calibri" w:cs="Calibri"/>
          <w:lang w:eastAsia="ar-SA"/>
        </w:rPr>
      </w:r>
    </w:p>
    <w:p>
      <w:pPr>
        <w:pStyle w:val="Normal"/>
        <w:numPr>
          <w:ilvl w:val="0"/>
          <w:numId w:val="6"/>
        </w:numPr>
        <w:tabs>
          <w:tab w:val="left" w:pos="540" w:leader="none"/>
        </w:tabs>
        <w:suppressAutoHyphens w:val="true"/>
        <w:spacing w:lineRule="auto" w:line="240" w:before="0" w:after="0"/>
        <w:ind w:left="426" w:hanging="36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Lider Konsorcjum zobowiązuje się do wykonywania obowiązków wynikających z niniejszej Umowy przy dołożeniu należytej staranności w rozumieniu przepisów kodeksu cywilnego.</w:t>
      </w:r>
    </w:p>
    <w:p>
      <w:pPr>
        <w:pStyle w:val="Normal"/>
        <w:numPr>
          <w:ilvl w:val="0"/>
          <w:numId w:val="6"/>
        </w:numPr>
        <w:tabs>
          <w:tab w:val="left" w:pos="540" w:leader="none"/>
        </w:tabs>
        <w:suppressAutoHyphens w:val="true"/>
        <w:spacing w:lineRule="auto" w:line="240" w:before="0" w:after="0"/>
        <w:ind w:left="426" w:hanging="36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 xml:space="preserve">Lider Konsorcjum odpowiedzialny jest za kontakty z NCBR dotyczące Wniosku </w:t>
        <w:br/>
        <w:t>o dofinansowanie, Umowy o dofinansowanie oraz związane z bieżącą realizacją Projektu.</w:t>
      </w:r>
    </w:p>
    <w:p>
      <w:pPr>
        <w:pStyle w:val="Normal"/>
        <w:numPr>
          <w:ilvl w:val="0"/>
          <w:numId w:val="6"/>
        </w:numPr>
        <w:tabs>
          <w:tab w:val="left" w:pos="540" w:leader="none"/>
        </w:tabs>
        <w:suppressAutoHyphens w:val="true"/>
        <w:spacing w:lineRule="auto" w:line="240" w:before="0" w:after="0"/>
        <w:ind w:left="426" w:hanging="36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 xml:space="preserve">Lider Konsorcjum jest upoważniony przez Partnerów do złożenia Wniosku </w:t>
        <w:br/>
        <w:t>o dofinansowanie w imieniu Konsorcjum, wszczęcia procedury odwoławczej w przypadku nie przyjęcia Wniosku o dofinansowanie do realizacji, zawarcia na rzecz i w imieniu własnym oraz konsorcjantów Umowy o dofinansowanie, dokonywania zmian w Umowie o dofinansowanie Projektu, występowania przed NCBR we wszystkich sprawach związanych z realizacją Umowy o dofinansowanie i z rozliczaniem Projektu, a także do pośredniczenia w przekazywaniu Partnerom Konsorcjum środków finansowych otrzymanych tytułem dofinansowania z Instytucji Pośredniczącej i ich rozliczaniu, a także do reprezentowania Partnerów w związku z wykonywaniem Umowy o dofinansowanie projektu.</w:t>
      </w:r>
    </w:p>
    <w:p>
      <w:pPr>
        <w:pStyle w:val="Normal"/>
        <w:numPr>
          <w:ilvl w:val="0"/>
          <w:numId w:val="6"/>
        </w:numPr>
        <w:tabs>
          <w:tab w:val="left" w:pos="540" w:leader="none"/>
        </w:tabs>
        <w:suppressAutoHyphens w:val="true"/>
        <w:spacing w:lineRule="auto" w:line="240" w:before="0" w:after="0"/>
        <w:ind w:left="426" w:hanging="36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Lider Konsorcjum zobowiązuje się do współpracy z upoważnionymi instytucjami krajowymi i Unii Europejskiej zgodnie z Umową o dofinansowanie („podmioty kontrolujące”) w zakresie kontroli prawidłowej realizacji Projektu w ramach PO IR.</w:t>
      </w:r>
    </w:p>
    <w:p>
      <w:pPr>
        <w:pStyle w:val="Normal"/>
        <w:numPr>
          <w:ilvl w:val="0"/>
          <w:numId w:val="6"/>
        </w:numPr>
        <w:tabs>
          <w:tab w:val="left" w:pos="540" w:leader="none"/>
        </w:tabs>
        <w:suppressAutoHyphens w:val="true"/>
        <w:spacing w:lineRule="auto" w:line="240" w:before="0" w:after="0"/>
        <w:ind w:left="426" w:hanging="36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Do zadań Lidera Konsorcjum w </w:t>
      </w:r>
      <w:r>
        <w:rPr>
          <w:rFonts w:eastAsia="Calibri" w:cs="Times New Roman" w:ascii="Times New Roman" w:hAnsi="Times New Roman"/>
          <w:bCs/>
          <w:sz w:val="24"/>
          <w:szCs w:val="24"/>
          <w:u w:val="single"/>
          <w:lang w:eastAsia="ar-SA"/>
        </w:rPr>
        <w:t>zakresie Wniosku o dofinansowanie, Umowy o dofinansowanie oraz rozliczania dofinansowania należeć będzie w szczególności:</w:t>
      </w:r>
    </w:p>
    <w:p>
      <w:pPr>
        <w:pStyle w:val="Normal"/>
        <w:numPr>
          <w:ilvl w:val="0"/>
          <w:numId w:val="7"/>
        </w:numPr>
        <w:tabs>
          <w:tab w:val="left" w:pos="540" w:leader="none"/>
        </w:tabs>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u w:val="single"/>
          <w:lang w:eastAsia="ar-SA"/>
        </w:rPr>
        <w:t xml:space="preserve">zgromadzenie od Partnerów wszelkich informacji </w:t>
      </w:r>
      <w:r>
        <w:rPr>
          <w:rFonts w:eastAsia="Calibri" w:cs="Times New Roman" w:ascii="Times New Roman" w:hAnsi="Times New Roman"/>
          <w:bCs/>
          <w:sz w:val="24"/>
          <w:szCs w:val="24"/>
          <w:lang w:eastAsia="ar-SA"/>
        </w:rPr>
        <w:t>i dokumentów niezbędnych do złożenia Wniosku o dofinansowanie w ramach Konkursu;</w:t>
      </w:r>
    </w:p>
    <w:p>
      <w:pPr>
        <w:pStyle w:val="Normal"/>
        <w:numPr>
          <w:ilvl w:val="0"/>
          <w:numId w:val="7"/>
        </w:numPr>
        <w:tabs>
          <w:tab w:val="left" w:pos="540" w:leader="none"/>
        </w:tabs>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opracowanie i  złożenie kompletnego Wniosku o dofinansowanie zgodnie z zasadami Konkursu oraz innymi dokumentami strategicznymi i aktami prawnymi dotyczącymi PO IR oraz w razie zaistnienia takiej potrzeby dokonywanie zmian we Wniosku o dofinasowanie;</w:t>
      </w:r>
    </w:p>
    <w:p>
      <w:pPr>
        <w:pStyle w:val="Normal"/>
        <w:numPr>
          <w:ilvl w:val="0"/>
          <w:numId w:val="7"/>
        </w:numPr>
        <w:tabs>
          <w:tab w:val="left" w:pos="540" w:leader="none"/>
        </w:tabs>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 xml:space="preserve">zgromadzenie od Partnerów wszystkich dokumentów niezbędnych do podpisania Umowy o dofinansowanie Projektu; </w:t>
      </w:r>
    </w:p>
    <w:p>
      <w:pPr>
        <w:pStyle w:val="Normal"/>
        <w:numPr>
          <w:ilvl w:val="0"/>
          <w:numId w:val="7"/>
        </w:numPr>
        <w:tabs>
          <w:tab w:val="left" w:pos="540" w:leader="none"/>
        </w:tabs>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 xml:space="preserve">reprezentowanie Partnerów przed NCBR; </w:t>
      </w:r>
    </w:p>
    <w:p>
      <w:pPr>
        <w:pStyle w:val="Normal"/>
        <w:numPr>
          <w:ilvl w:val="0"/>
          <w:numId w:val="7"/>
        </w:numPr>
        <w:tabs>
          <w:tab w:val="left" w:pos="540" w:leader="none"/>
        </w:tabs>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sporządzanie i składanie kompletnych wniosków o płatność, zgodnie z zasadami określonymi w Umowie o dofinansowanie Projektu.</w:t>
      </w:r>
    </w:p>
    <w:p>
      <w:pPr>
        <w:pStyle w:val="ListParagraph"/>
        <w:numPr>
          <w:ilvl w:val="0"/>
          <w:numId w:val="6"/>
        </w:numPr>
        <w:tabs>
          <w:tab w:val="left" w:pos="851" w:leader="none"/>
        </w:tabs>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Do zadań Lidera Konsorcjum w </w:t>
      </w:r>
      <w:r>
        <w:rPr>
          <w:rFonts w:eastAsia="Calibri" w:cs="Times New Roman" w:ascii="Times New Roman" w:hAnsi="Times New Roman"/>
          <w:bCs/>
          <w:sz w:val="24"/>
          <w:szCs w:val="24"/>
          <w:u w:val="single"/>
          <w:lang w:eastAsia="ar-SA"/>
        </w:rPr>
        <w:t>zakresie organizacji i zarządzania Projektem</w:t>
      </w:r>
      <w:r>
        <w:rPr>
          <w:rFonts w:eastAsia="Calibri" w:cs="Times New Roman" w:ascii="Times New Roman" w:hAnsi="Times New Roman"/>
          <w:bCs/>
          <w:sz w:val="24"/>
          <w:szCs w:val="24"/>
          <w:lang w:eastAsia="ar-SA"/>
        </w:rPr>
        <w:t xml:space="preserve"> należeć będzie w szczególności:</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prowadzenie Biura Lidera Projektu;</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koordynacja prac Biur Partnerów powołanych przez każdego Partnera;</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bCs/>
          <w:sz w:val="24"/>
          <w:szCs w:val="24"/>
          <w:lang w:eastAsia="ar-SA"/>
        </w:rPr>
        <w:t xml:space="preserve">współpraca z Koordynatorami Biur Partnerów w  zakresie bieżącego zarządzania </w:t>
      </w:r>
      <w:r>
        <w:rPr>
          <w:rFonts w:eastAsia="Calibri" w:cs="Times New Roman" w:ascii="Times New Roman" w:hAnsi="Times New Roman"/>
          <w:sz w:val="24"/>
          <w:szCs w:val="24"/>
          <w:lang w:eastAsia="ar-SA"/>
        </w:rPr>
        <w:t>Projektem oraz udostępnianie im wszelkich informacji dotyczących przebiegu i oceny zewnętrznej Projektu;</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koordynacja, monitoring oraz kontrola działań związanych z realizacją Projektu;</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archiwizacja dokumentacji związanej z realizacją Projektu przez Lidera Konsorcjum;</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kontrola dokumentacji dotyczącej realizacji Projektu przez poszczególnych Partnerów;</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opracowywanie procedur, instrukcji, regulaminów dotyczących realizacji Projektu wynikających z obowiązujących przepisów, wytycznych oraz innych dokumentów i zaleceń NCBR;</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sporządzanie sprawozdań z realizacji Projektu w oparciu o informacje uzyskane od Partnerów oraz przekazywanie ich do NCBR;</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uzyskiwanie od Partnerów wszystkich informacji w celu przygotowania sprawozdań;</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przekazywanie Partnerom Konsorcjum na ich żądanie wszelkich informacji uzyskanych od Instytucji Pośredniczącej w zw. z realizacją Projektu, w tym udostępnianie Partnerom Konsorcjum zawartej Umowy o dofinansowanie Projektu oraz aneksów do Umowy o dofinansowanie Projektu;</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przekazywanie Partnerom Konsorcjum przedkładanych Instytucji Pośredniczącej informacji i dokumentów związanych z monitorowaniem i kontrolą prawidłowej realizacji projektu;</w:t>
      </w:r>
    </w:p>
    <w:p>
      <w:pPr>
        <w:pStyle w:val="Normal"/>
        <w:numPr>
          <w:ilvl w:val="0"/>
          <w:numId w:val="8"/>
        </w:numPr>
        <w:suppressAutoHyphens w:val="true"/>
        <w:spacing w:lineRule="auto" w:line="240" w:before="0" w:after="0"/>
        <w:jc w:val="both"/>
        <w:rPr>
          <w:rFonts w:ascii="Times New Roman" w:hAnsi="Times New Roman" w:eastAsia="Calibri" w:cs="Times New Roman"/>
          <w:bCs/>
          <w:sz w:val="24"/>
          <w:szCs w:val="24"/>
          <w:lang w:eastAsia="ar-SA"/>
        </w:rPr>
      </w:pPr>
      <w:r>
        <w:rPr>
          <w:rFonts w:eastAsia="Calibri" w:cs="Times New Roman" w:ascii="Times New Roman" w:hAnsi="Times New Roman"/>
          <w:sz w:val="24"/>
          <w:szCs w:val="24"/>
          <w:lang w:eastAsia="ar-SA"/>
        </w:rPr>
        <w:t>zapewnienie Partnerom wsparcia dotyczącego realizacji Projektu.</w:t>
      </w:r>
    </w:p>
    <w:p>
      <w:pPr>
        <w:pStyle w:val="Normal"/>
        <w:tabs>
          <w:tab w:val="left" w:pos="851"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7.</w:t>
      </w:r>
      <w:r>
        <w:rPr>
          <w:rFonts w:eastAsia="Calibri" w:cs="Times New Roman" w:ascii="Times New Roman" w:hAnsi="Times New Roman"/>
          <w:sz w:val="24"/>
          <w:szCs w:val="24"/>
          <w:lang w:eastAsia="ar-SA"/>
        </w:rPr>
        <w:t xml:space="preserve"> Do zadań Lidera Konsorcjum w </w:t>
      </w:r>
      <w:r>
        <w:rPr>
          <w:rFonts w:eastAsia="Calibri" w:cs="Times New Roman" w:ascii="Times New Roman" w:hAnsi="Times New Roman"/>
          <w:sz w:val="24"/>
          <w:szCs w:val="24"/>
          <w:u w:val="single"/>
          <w:lang w:eastAsia="ar-SA"/>
        </w:rPr>
        <w:t>zakresie zarządzania finansami</w:t>
      </w:r>
      <w:r>
        <w:rPr>
          <w:rFonts w:eastAsia="Calibri" w:cs="Times New Roman" w:ascii="Times New Roman" w:hAnsi="Times New Roman"/>
          <w:sz w:val="24"/>
          <w:szCs w:val="24"/>
          <w:lang w:eastAsia="ar-SA"/>
        </w:rPr>
        <w:t xml:space="preserve"> należeć będzie w szczególności:</w:t>
      </w:r>
    </w:p>
    <w:p>
      <w:pPr>
        <w:pStyle w:val="Normal"/>
        <w:numPr>
          <w:ilvl w:val="0"/>
          <w:numId w:val="9"/>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niezwłocznie po otrzymaniu informacji o przyjęciu Wniosku o dofinansowanie do realizacji założenie wyodrębnionego dla Projektu rachunku bankowego, na który przekazywane będą przez NCBR transze dofinansowania („rachunek bankowy Projektu”), wszystkie płatności dokonywane w związku z realizacją Umowy o dofinansowanie pomiędzy NCBR</w:t>
      </w:r>
      <w:r>
        <w:rPr>
          <w:rFonts w:eastAsia="Calibri" w:cs="Times New Roman" w:ascii="Times New Roman" w:hAnsi="Times New Roman"/>
          <w:color w:val="FF0000"/>
          <w:sz w:val="24"/>
          <w:szCs w:val="24"/>
          <w:lang w:eastAsia="ar-SA"/>
        </w:rPr>
        <w:t xml:space="preserve"> </w:t>
      </w:r>
      <w:r>
        <w:rPr>
          <w:rFonts w:eastAsia="Calibri" w:cs="Times New Roman" w:ascii="Times New Roman" w:hAnsi="Times New Roman"/>
          <w:sz w:val="24"/>
          <w:szCs w:val="24"/>
          <w:lang w:eastAsia="ar-SA"/>
        </w:rPr>
        <w:t>a Partnerstwem, Liderem Konsorcjum a Partnerem lub Partnerami odbywać będą się za pośrednictwem rachunku bankowego Projektu, osobami upoważnionymi do dysponowania środkami pieniężnymi zgromadzonymi na rachunku bankowym Projektu będą wyłącznie osoby upoważnione przez Lidera Konsorcjum;</w:t>
      </w:r>
    </w:p>
    <w:p>
      <w:pPr>
        <w:pStyle w:val="Normal"/>
        <w:numPr>
          <w:ilvl w:val="0"/>
          <w:numId w:val="9"/>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wdrożenie procedur i  narzędzi zarządzania finansowego, zgodnych z Umową o dofinansowanie, obowiązującymi przepisami, wytycznymi oraz innymi dokumentami i zaleceniami NCBR;</w:t>
      </w:r>
    </w:p>
    <w:p>
      <w:pPr>
        <w:pStyle w:val="Normal"/>
        <w:numPr>
          <w:ilvl w:val="0"/>
          <w:numId w:val="9"/>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kontrola poprawności formalnej i merytorycznej poniesionych wydatków oraz dokumentów je potwierdzających;</w:t>
      </w:r>
    </w:p>
    <w:p>
      <w:pPr>
        <w:pStyle w:val="Normal"/>
        <w:numPr>
          <w:ilvl w:val="0"/>
          <w:numId w:val="9"/>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bieżące zarządzanie środkami finansowymi zgromadzonymi na rachunku bankowym Projektu, w szczególności właściwe zarządzanie płynnością finansową;</w:t>
      </w:r>
    </w:p>
    <w:p>
      <w:pPr>
        <w:pStyle w:val="Normal"/>
        <w:numPr>
          <w:ilvl w:val="0"/>
          <w:numId w:val="9"/>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rozliczanie z Partnerami transz dofinansowania otrzymywanych z NCBR;</w:t>
      </w:r>
    </w:p>
    <w:p>
      <w:pPr>
        <w:pStyle w:val="Normal"/>
        <w:numPr>
          <w:ilvl w:val="0"/>
          <w:numId w:val="9"/>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współpraca z Koordynatorami Biur Partnerów.</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8.</w:t>
      </w:r>
      <w:r>
        <w:rPr>
          <w:rFonts w:eastAsia="Calibri" w:cs="Times New Roman" w:ascii="Times New Roman" w:hAnsi="Times New Roman"/>
          <w:sz w:val="24"/>
          <w:szCs w:val="24"/>
          <w:lang w:eastAsia="ar-SA"/>
        </w:rPr>
        <w:t xml:space="preserve"> Do zadań Lidera Konsorcjum w </w:t>
      </w:r>
      <w:r>
        <w:rPr>
          <w:rFonts w:eastAsia="Calibri" w:cs="Times New Roman" w:ascii="Times New Roman" w:hAnsi="Times New Roman"/>
          <w:sz w:val="24"/>
          <w:szCs w:val="24"/>
          <w:u w:val="single"/>
          <w:lang w:eastAsia="ar-SA"/>
        </w:rPr>
        <w:t>zakresie informacji i promocji</w:t>
      </w:r>
      <w:r>
        <w:rPr>
          <w:rFonts w:eastAsia="Calibri" w:cs="Times New Roman" w:ascii="Times New Roman" w:hAnsi="Times New Roman"/>
          <w:sz w:val="24"/>
          <w:szCs w:val="24"/>
          <w:lang w:eastAsia="ar-SA"/>
        </w:rPr>
        <w:t xml:space="preserve"> należeć będzie w szczególności:</w:t>
      </w:r>
    </w:p>
    <w:p>
      <w:pPr>
        <w:pStyle w:val="Normal"/>
        <w:numPr>
          <w:ilvl w:val="0"/>
          <w:numId w:val="10"/>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opracowanie strategii informacyjno-promocyjnej;</w:t>
      </w:r>
    </w:p>
    <w:p>
      <w:pPr>
        <w:pStyle w:val="Normal"/>
        <w:numPr>
          <w:ilvl w:val="0"/>
          <w:numId w:val="10"/>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realizacja akcji informacyjno-promocyjnej na poziomie ogólnopolskim i regionalnym;</w:t>
      </w:r>
    </w:p>
    <w:p>
      <w:pPr>
        <w:pStyle w:val="Normal"/>
        <w:numPr>
          <w:ilvl w:val="0"/>
          <w:numId w:val="10"/>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koordynowanie aktywności informacyjno-promocyjnej w mediach;</w:t>
      </w:r>
    </w:p>
    <w:p>
      <w:pPr>
        <w:pStyle w:val="Normal"/>
        <w:numPr>
          <w:ilvl w:val="0"/>
          <w:numId w:val="10"/>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uruchomienie i obsługa strony www Projektu.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9.</w:t>
      </w:r>
      <w:r>
        <w:rPr>
          <w:rFonts w:eastAsia="Calibri" w:cs="Times New Roman" w:ascii="Times New Roman" w:hAnsi="Times New Roman"/>
          <w:sz w:val="24"/>
          <w:szCs w:val="24"/>
          <w:lang w:eastAsia="ar-SA"/>
        </w:rPr>
        <w:t xml:space="preserve"> Do zadań Lidera Konsorcjum w </w:t>
      </w:r>
      <w:r>
        <w:rPr>
          <w:rFonts w:eastAsia="Calibri" w:cs="Times New Roman" w:ascii="Times New Roman" w:hAnsi="Times New Roman"/>
          <w:sz w:val="24"/>
          <w:szCs w:val="24"/>
          <w:u w:val="single"/>
          <w:lang w:eastAsia="ar-SA"/>
        </w:rPr>
        <w:t>zakresie badań przemysłowych i eksperymentalnych prac rozwojowych albo eksperymentalnych prac rozwojowych</w:t>
      </w:r>
      <w:r>
        <w:rPr>
          <w:rFonts w:eastAsia="Calibri" w:cs="Times New Roman" w:ascii="Times New Roman" w:hAnsi="Times New Roman"/>
          <w:sz w:val="24"/>
          <w:szCs w:val="24"/>
          <w:lang w:eastAsia="ar-SA"/>
        </w:rPr>
        <w:t xml:space="preserve"> należeć będzie w szczególności: </w:t>
      </w:r>
    </w:p>
    <w:p>
      <w:pPr>
        <w:pStyle w:val="Normal"/>
        <w:numPr>
          <w:ilvl w:val="0"/>
          <w:numId w:val="11"/>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udostępnienie informacji o wynikach badań naukowych powstałych w efekcie realizacji Projektu na równych zasadach rynkowych podmiotom zainteresowanym gospodarczym wykorzystaniem tych wyników, z uwzględnieniem przepisów o prawie autorskim i prawie własności przemysłowej;</w:t>
      </w:r>
    </w:p>
    <w:p>
      <w:pPr>
        <w:pStyle w:val="Normal"/>
        <w:numPr>
          <w:ilvl w:val="0"/>
          <w:numId w:val="11"/>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powołanie stałych zespołów badawczych, w których będzie realizowana działalność badawcza;</w:t>
      </w:r>
    </w:p>
    <w:p>
      <w:pPr>
        <w:pStyle w:val="Normal"/>
        <w:numPr>
          <w:ilvl w:val="0"/>
          <w:numId w:val="11"/>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zrealizowania zadań badawczych zgodnie z harmonogramem rzeczowo-finansowym;</w:t>
      </w:r>
    </w:p>
    <w:p>
      <w:pPr>
        <w:pStyle w:val="Normal"/>
        <w:numPr>
          <w:ilvl w:val="0"/>
          <w:numId w:val="11"/>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ewaluacja i monitoring w zakresie oceny stopnia osiągnięcia zakładanych rezultatów;</w:t>
      </w:r>
    </w:p>
    <w:p>
      <w:pPr>
        <w:pStyle w:val="Normal"/>
        <w:numPr>
          <w:ilvl w:val="0"/>
          <w:numId w:val="11"/>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Lider Konsorcjum i  Partnerzy mogą wspólnie przeprowadzić dodatkowe badania dotyczące celów Projektu.</w:t>
      </w:r>
    </w:p>
    <w:p>
      <w:pPr>
        <w:pStyle w:val="Normal"/>
        <w:suppressAutoHyphens w:val="true"/>
        <w:spacing w:lineRule="auto" w:line="240" w:before="120" w:after="0"/>
        <w:ind w:left="426" w:hanging="0"/>
        <w:jc w:val="center"/>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 4</w:t>
      </w:r>
    </w:p>
    <w:p>
      <w:pPr>
        <w:pStyle w:val="Normal"/>
        <w:keepNext/>
        <w:suppressAutoHyphens w:val="true"/>
        <w:spacing w:lineRule="auto" w:line="240" w:before="0" w:after="0"/>
        <w:ind w:left="426" w:hanging="0"/>
        <w:jc w:val="center"/>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Zadania i obowiązki Partnerów w związku z realizacją Projektu</w:t>
      </w:r>
    </w:p>
    <w:p>
      <w:pPr>
        <w:pStyle w:val="Normal"/>
        <w:keepNext/>
        <w:suppressAutoHyphens w:val="true"/>
        <w:spacing w:lineRule="auto" w:line="240" w:before="0" w:after="0"/>
        <w:ind w:left="426" w:hanging="0"/>
        <w:jc w:val="center"/>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 zobowiązany jest do wykonywania obowiązków wynikających z niniejszej Umowy przy dołożeniu należytej staranności w rozumieniu przepisów kodeksu cywilnego.</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 zobowiązuje się niezwłocznie poinformować Lidera Konsorcjum o wszelkich przeszkodach przy realizacji zadań i o możliwości zaprzestania realizacji zadań.</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Osobami kontaktowymi będą ze strony:</w:t>
      </w:r>
    </w:p>
    <w:p>
      <w:pPr>
        <w:pStyle w:val="Normal"/>
        <w:numPr>
          <w:ilvl w:val="0"/>
          <w:numId w:val="13"/>
        </w:numPr>
        <w:tabs>
          <w:tab w:val="left" w:pos="540" w:leader="none"/>
        </w:tabs>
        <w:suppressAutoHyphens w:val="true"/>
        <w:spacing w:lineRule="auto" w:line="240" w:before="0" w:after="0"/>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Lidera Konsorcjum:   </w:t>
      </w:r>
      <w:bookmarkStart w:id="0" w:name="_Hlk29844159"/>
      <w:bookmarkEnd w:id="0"/>
      <w:r>
        <w:rPr>
          <w:rFonts w:eastAsia="Calibri" w:cs="Times New Roman" w:ascii="Times New Roman" w:hAnsi="Times New Roman"/>
          <w:sz w:val="24"/>
          <w:szCs w:val="24"/>
          <w:lang w:eastAsia="ar-SA"/>
        </w:rPr>
        <w:t>……………… –………………….……….</w:t>
        <w:br/>
        <w:t>……………………   ……………… –………..…….……..…….</w:t>
      </w:r>
    </w:p>
    <w:p>
      <w:pPr>
        <w:pStyle w:val="Normal"/>
        <w:numPr>
          <w:ilvl w:val="0"/>
          <w:numId w:val="13"/>
        </w:numPr>
        <w:tabs>
          <w:tab w:val="left" w:pos="540" w:leader="none"/>
        </w:tabs>
        <w:suppressAutoHyphens w:val="true"/>
        <w:spacing w:lineRule="auto" w:line="240" w:before="0" w:after="0"/>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Konsorcjanta nr 1: ……………… –………………….……….</w:t>
        <w:br/>
        <w:t>……………………   ……………… –………..…….……..…….</w:t>
      </w:r>
    </w:p>
    <w:p>
      <w:pPr>
        <w:pStyle w:val="Normal"/>
        <w:numPr>
          <w:ilvl w:val="0"/>
          <w:numId w:val="13"/>
        </w:numPr>
        <w:tabs>
          <w:tab w:val="left" w:pos="540" w:leader="none"/>
        </w:tabs>
        <w:suppressAutoHyphens w:val="true"/>
        <w:spacing w:lineRule="auto" w:line="240" w:before="0" w:after="0"/>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Konsorcjanta nr 2:     ……………… –………………….……….</w:t>
        <w:br/>
        <w:t>……………………   ……………… –………..…….……..…….</w:t>
      </w:r>
    </w:p>
    <w:p>
      <w:pPr>
        <w:pStyle w:val="Normal"/>
        <w:numPr>
          <w:ilvl w:val="0"/>
          <w:numId w:val="12"/>
        </w:numPr>
        <w:tabs>
          <w:tab w:val="left" w:pos="426" w:leader="none"/>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 zobowiązany jest do stosowania procedur, instrukcji, regulaminów oraz wzorów dokumentów wprowadzanych i aktualizowanych przez Lidera Konsorcjum w trakcie realizacji Projektu.</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Partnerzy zobowiązani są do realizacji Projektu zgodnie z prawem oraz Umową o dofinansowanie Projektu, w szczególności zgodnie z § 12 Umowy o dofinansowanie Projektu (konkurencyjność wydatków).</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Partnerzy zobowiązani są do niezwłocznego informowania beneficjenta o zamiarze dokonania zmian prawno-organizacyjnych w statusie Partnerów, które mogłyby mieć bezpośredni wpływ na realizację Projektu lub osiągnięcie celów Projektu, w tym w szczególności o wszelkich zmianach mogących mieć wpływ na status małego/średniego przedsiębiorcy. Partner</w:t>
      </w:r>
      <w:r>
        <w:rPr>
          <w:rFonts w:eastAsia="Calibri" w:cs="Times New Roman"/>
          <w:lang w:eastAsia="ar-SA"/>
        </w:rPr>
        <w:t xml:space="preserve">, </w:t>
      </w:r>
      <w:r>
        <w:rPr>
          <w:rFonts w:eastAsia="Calibri" w:cs="Times New Roman" w:ascii="Times New Roman" w:hAnsi="Times New Roman"/>
          <w:sz w:val="24"/>
          <w:szCs w:val="24"/>
          <w:lang w:eastAsia="ar-SA"/>
        </w:rPr>
        <w:t>będący przedsiębiorcą innym niż MŚP, zapewnia, że wkład finansowy do Projektu pochodzący ze środków publicznych nie spowoduje znacznej utraty miejsc pracy (minimum 100) w istniejących lokalizacjach tego Partnera na terytorium Unii Europejskiej.</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Partnerzy Konsorcjum zobowiązują się do niezwłocznego poinformowania Lidera Konsorcjum o konieczności wprowadzenia zmian w Projekcie.</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 przypadku, gdy Partner zleca część zadań w ramach Projektu osobom trzecim, Partner zobowiązuje się udostępnić Liderowi Konsorcjum i NCBR wgląd do dokumentów, także dokumentów finansowych wykonawców związanych z realizacją zadań w ramach Projektu. Prawo wglądu do dokumentów Partner zapewnia przez cały okres wskazany w Umowie o dofinansowanie.</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Partner zobowiązuje się do współpracy z upoważnionymi instytucjami krajowymi i Unii Europejskiej zgodnie z Umową o dofinansowanie („podmioty kontrolujące”) w zakresie kontroli prawidłowej realizacji Projektu w ramach PO IR.</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Niniejszym Partner udziela Liderowi Konsorcjum pełnomocnictwa do złożenia Wniosku o dofinansowanie w imieniu Konsorcjum, zawarcia na rzecz i w imieniu własnym oraz konsorcjantów Umowy o dofinansowanie oraz zawierania w jego imieniu Aneksów do Umowy o dofinansowanie Projektu, których zawarcie jest konieczne ze względu na realizację celu niniejszej Umowy jak i Umowy o dofinansowanie Projektu. Wypowiedzenie przedmiotowego pełnomocnictwa jest możliwe w każdym czasie w formie pisemnej dostarczonej Liderowi Konsorcjum za zwrotnym potwierdzeniem odbioru. Pełnomocnictwo wygasa z chwilą doręczenia Liderowi Konsorcjum wypowiedzenia pełnomocnictwa.</w:t>
      </w:r>
    </w:p>
    <w:p>
      <w:pPr>
        <w:pStyle w:val="Normal"/>
        <w:numPr>
          <w:ilvl w:val="0"/>
          <w:numId w:val="12"/>
        </w:numPr>
        <w:tabs>
          <w:tab w:val="left" w:pos="540" w:leader="none"/>
        </w:tabs>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Do zadań Partnera w </w:t>
      </w:r>
      <w:r>
        <w:rPr>
          <w:rFonts w:eastAsia="Calibri" w:cs="Times New Roman" w:ascii="Times New Roman" w:hAnsi="Times New Roman"/>
          <w:sz w:val="24"/>
          <w:szCs w:val="24"/>
          <w:u w:val="single"/>
          <w:lang w:eastAsia="ar-SA"/>
        </w:rPr>
        <w:t>zakresie Wniosku o dofinansowanie, Umowy o dofinansowanie oraz rozliczania dofinansowania</w:t>
      </w:r>
      <w:r>
        <w:rPr>
          <w:rFonts w:eastAsia="Calibri" w:cs="Times New Roman" w:ascii="Times New Roman" w:hAnsi="Times New Roman"/>
          <w:sz w:val="24"/>
          <w:szCs w:val="24"/>
          <w:lang w:eastAsia="ar-SA"/>
        </w:rPr>
        <w:t xml:space="preserve"> należeć będzie w szczególności:</w:t>
      </w:r>
    </w:p>
    <w:p>
      <w:pPr>
        <w:pStyle w:val="Normal"/>
        <w:numPr>
          <w:ilvl w:val="0"/>
          <w:numId w:val="1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dostarczenie Liderowi Konsorcjum wszelkich prawidłowych informacji i dokumentów niezbędnych do złożenia Wniosku o dofinansowanie w ramach Konkursu, a także do uzupełnienia lub poprawienia Wniosku o dofinansowanie w przypadku zaistnienia takiej konieczności;</w:t>
      </w:r>
    </w:p>
    <w:p>
      <w:pPr>
        <w:pStyle w:val="Normal"/>
        <w:numPr>
          <w:ilvl w:val="0"/>
          <w:numId w:val="14"/>
        </w:numPr>
        <w:suppressAutoHyphens w:val="true"/>
        <w:spacing w:lineRule="auto" w:line="240" w:before="0" w:after="0"/>
        <w:jc w:val="both"/>
        <w:rPr>
          <w:rFonts w:ascii="Times New Roman" w:hAnsi="Times New Roman" w:eastAsia="Calibri" w:cs="Times New Roman"/>
          <w:sz w:val="24"/>
          <w:szCs w:val="24"/>
          <w:lang w:eastAsia="ar-SA"/>
        </w:rPr>
      </w:pPr>
      <w:bookmarkStart w:id="1" w:name="OLE_LINK3"/>
      <w:r>
        <w:rPr>
          <w:rFonts w:eastAsia="Calibri" w:cs="Times New Roman" w:ascii="Times New Roman" w:hAnsi="Times New Roman"/>
          <w:sz w:val="24"/>
          <w:szCs w:val="24"/>
          <w:lang w:eastAsia="ar-SA"/>
        </w:rPr>
        <w:t>dostarczenie Liderowi Konsorcjum wszelkich dokumentów i oświadczeń niezbędnych do podpisania Umowy o dofinansowanie Projektu;</w:t>
      </w:r>
    </w:p>
    <w:p>
      <w:pPr>
        <w:pStyle w:val="Normal"/>
        <w:numPr>
          <w:ilvl w:val="0"/>
          <w:numId w:val="14"/>
        </w:numPr>
        <w:suppressAutoHyphens w:val="true"/>
        <w:spacing w:lineRule="auto" w:line="240" w:before="0" w:after="0"/>
        <w:jc w:val="both"/>
        <w:rPr>
          <w:rFonts w:ascii="Times New Roman" w:hAnsi="Times New Roman" w:eastAsia="Calibri" w:cs="Times New Roman"/>
          <w:sz w:val="24"/>
          <w:szCs w:val="24"/>
          <w:lang w:eastAsia="ar-SA"/>
        </w:rPr>
      </w:pPr>
      <w:bookmarkStart w:id="2" w:name="OLE_LINK3"/>
      <w:r>
        <w:rPr>
          <w:rFonts w:eastAsia="Calibri" w:cs="Times New Roman" w:ascii="Times New Roman" w:hAnsi="Times New Roman"/>
          <w:sz w:val="24"/>
          <w:szCs w:val="24"/>
          <w:lang w:eastAsia="ar-SA"/>
        </w:rPr>
        <w:t xml:space="preserve">dostarczanie Liderowi Konsorcjum wszelkich informacji </w:t>
      </w:r>
      <w:bookmarkStart w:id="3" w:name="OLE_LINK4"/>
      <w:bookmarkStart w:id="4" w:name="OLE_LINK5"/>
      <w:bookmarkEnd w:id="2"/>
      <w:r>
        <w:rPr>
          <w:rFonts w:eastAsia="Calibri" w:cs="Times New Roman" w:ascii="Times New Roman" w:hAnsi="Times New Roman"/>
          <w:sz w:val="24"/>
          <w:szCs w:val="24"/>
          <w:lang w:eastAsia="ar-SA"/>
        </w:rPr>
        <w:t>o poniesionych wydatkach kwalifikowalnych i dokumentów, tak aby mogły być one ujęte we wniosku o płatność przekazanym do Instytucji Pośredniczącej w terminie 3 miesięcy od dnia poniesienia wydatku;</w:t>
      </w:r>
    </w:p>
    <w:p>
      <w:pPr>
        <w:pStyle w:val="Normal"/>
        <w:numPr>
          <w:ilvl w:val="0"/>
          <w:numId w:val="1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przekazywanie do Biura Lidera informacji </w:t>
      </w:r>
      <w:bookmarkEnd w:id="3"/>
      <w:bookmarkEnd w:id="4"/>
      <w:r>
        <w:rPr>
          <w:rFonts w:eastAsia="Calibri" w:cs="Times New Roman" w:ascii="Times New Roman" w:hAnsi="Times New Roman"/>
          <w:sz w:val="24"/>
          <w:szCs w:val="24"/>
          <w:lang w:eastAsia="ar-SA"/>
        </w:rPr>
        <w:t>o wprowadzeniu wyników prac badawczych do działalności gospodarczej ich nabywcy, w przypadku wdrożenia wyników prac badawczych w formie sprzedaży;</w:t>
      </w:r>
    </w:p>
    <w:p>
      <w:pPr>
        <w:pStyle w:val="Normal"/>
        <w:numPr>
          <w:ilvl w:val="0"/>
          <w:numId w:val="1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dostarczanie Liderowi Konsorcjum niezwłocznie informacji w przypadku, gdy w trakcie realizacji Projektu okaże się, że dalsze badania przemysłowe i prace rozwojowe albo  prace rozwojowe nie doprowadzą do osiągnięcia  zakładanych wyników, bądź, gdy po zakończeniu prac badawczych wdrożenie okaże się bezcelowe z ekonomicznego punktu widzenia;</w:t>
      </w:r>
    </w:p>
    <w:p>
      <w:pPr>
        <w:pStyle w:val="Normal"/>
        <w:numPr>
          <w:ilvl w:val="0"/>
          <w:numId w:val="1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przekazywanie do Biura Lidera informacji o zamiarze dokonania zmian prawno-organizacyjnych, informacji o uzyskanej pomocy publicznej oraz pomocy de minimis przeznaczonej na te same koszty kwalifikujące się do objęcia pomocą, informacji o zaprzestaniu prowadzenia działalności, wszczęciu wobec Partnera postępowania upadłościowego, likwidacyjnego lub przejściu pod zarząd komisaryczny, informacji o wysokości osiągniętego dochodu na etapie realizacji Projektu lub 3 lata od zakończenia Projektu. Partner będący przedsiębiorcą innym niż MŚP i jednostka naukowa ma ponadto obowiązek monitorować dochód zgodnie z opcją wskazaną w § 3 Umowy o dofinansowanie Projektu.</w:t>
      </w:r>
    </w:p>
    <w:p>
      <w:pPr>
        <w:pStyle w:val="ListParagraph"/>
        <w:numPr>
          <w:ilvl w:val="0"/>
          <w:numId w:val="12"/>
        </w:numPr>
        <w:suppressAutoHyphens w:val="true"/>
        <w:spacing w:lineRule="auto" w:line="240" w:before="0" w:after="0"/>
        <w:ind w:left="284"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eastAsia="ar-SA"/>
        </w:rPr>
        <w:t>Do zadań Partnera w </w:t>
      </w:r>
      <w:r>
        <w:rPr>
          <w:rFonts w:eastAsia="Calibri" w:cs="Times New Roman" w:ascii="Times New Roman" w:hAnsi="Times New Roman"/>
          <w:sz w:val="24"/>
          <w:szCs w:val="24"/>
          <w:u w:val="single"/>
          <w:lang w:eastAsia="ar-SA"/>
        </w:rPr>
        <w:t>zakresie organizacji i  zarządzania Projektem</w:t>
      </w:r>
      <w:r>
        <w:rPr>
          <w:rFonts w:eastAsia="Calibri" w:cs="Times New Roman" w:ascii="Times New Roman" w:hAnsi="Times New Roman"/>
          <w:sz w:val="24"/>
          <w:szCs w:val="24"/>
          <w:lang w:eastAsia="ar-SA"/>
        </w:rPr>
        <w:t xml:space="preserve"> należeć będzie w szczególności:</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koordynacja działań związanych z  realizacją Projektu;</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uruchomienie i prowadzenie Biura Partnera;</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monitorowanie i kontrola zadań wynikających z realizacji Projektu;</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wdrożenie i stosowanie procedur, instrukcji oraz regulaminów na określonych płaszczyznach realizacji Projektu;</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wyodrębnienie ewidencji księgowej wydatków ponoszonych przez Partnera w ramach realizowanego projektu w sposób przejrzysty i rzetelny, tak, aby możliwa była identyfikacja poszczególnych operacji związanych z Projektem;</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terminowe dostarczanie Liderowi Konsorcjum wszelkich dokumentów oraz informacji niezbędnych do prawidłowej realizacji Projektu, zwłaszcza do celów sprawozdawczości oraz kontroli wewnętrznej;</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archiwizowanie oraz przechowywanie dokumentacji związanej z realizacją Projektu przez Partnera w sposób zapewniający dostępność, poufność i  bezpieczeństwo do dnia wskazanego w Umowie o dofinansowanie</w:t>
      </w:r>
      <w:r>
        <w:rPr/>
        <w:t xml:space="preserve"> oraz </w:t>
      </w:r>
      <w:r>
        <w:rPr>
          <w:rFonts w:eastAsia="Calibri" w:cs="Times New Roman" w:ascii="Times New Roman" w:hAnsi="Times New Roman"/>
          <w:sz w:val="24"/>
          <w:szCs w:val="24"/>
          <w:lang w:eastAsia="ar-SA"/>
        </w:rPr>
        <w:t>niezwłoczne poinformowanie Lidera Konsorcjum o miejscu archiwizacji tej dokumentacji, w przypadku zawieszenia lub zaprzestania przez Partnera działalności przed terminem, do którego zobowiązany jest przechowywać dokumenty;</w:t>
      </w:r>
    </w:p>
    <w:p>
      <w:pPr>
        <w:pStyle w:val="Normal"/>
        <w:numPr>
          <w:ilvl w:val="0"/>
          <w:numId w:val="15"/>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wyznaczenie właściwie umocowanego Koordynatora Biura Partnera reprezentującego Partnera w bieżącej działalności związanej z realizacją Projektu oraz w relacjach z Biurem Lidera. W szczególności Koordynator Partnera uprawniony i zobowiązany będzie do:</w:t>
      </w:r>
    </w:p>
    <w:p>
      <w:pPr>
        <w:pStyle w:val="Normal"/>
        <w:numPr>
          <w:ilvl w:val="0"/>
          <w:numId w:val="16"/>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zatwierdzania merytorycznie poniesionych wydatków kwalifikowanych;</w:t>
      </w:r>
    </w:p>
    <w:p>
      <w:pPr>
        <w:pStyle w:val="Normal"/>
        <w:numPr>
          <w:ilvl w:val="0"/>
          <w:numId w:val="16"/>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zapewnienia zgodności działań Partnera z procedurami przyjętymi w Projekcie;</w:t>
      </w:r>
    </w:p>
    <w:p>
      <w:pPr>
        <w:pStyle w:val="Normal"/>
        <w:numPr>
          <w:ilvl w:val="0"/>
          <w:numId w:val="16"/>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współpracy z Biurem Lidera;</w:t>
      </w:r>
    </w:p>
    <w:p>
      <w:pPr>
        <w:pStyle w:val="Normal"/>
        <w:numPr>
          <w:ilvl w:val="0"/>
          <w:numId w:val="16"/>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zarządzania i koordynowania działalnością Biura Partnera;</w:t>
      </w:r>
    </w:p>
    <w:p>
      <w:pPr>
        <w:pStyle w:val="Normal"/>
        <w:numPr>
          <w:ilvl w:val="0"/>
          <w:numId w:val="15"/>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niezwłoczne powiadomienie na piśmie Lidera Konsorcjum o każdorazowej zmianie osoby Koordynatora Partnera a także o wyznaczeniu osoby jej zastępującej w przypadku niemożności wykonywania przez niego obowiązków, osoba zastępująca przejmuje na czas niemożności wykonywania przez niego obowiązków wszystkie jego uprawnienia i obowiązki związane z realizacją Projektu.</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13.</w:t>
      </w:r>
      <w:r>
        <w:rPr>
          <w:rFonts w:eastAsia="Calibri" w:cs="Times New Roman" w:ascii="Times New Roman" w:hAnsi="Times New Roman"/>
          <w:sz w:val="24"/>
          <w:szCs w:val="24"/>
          <w:lang w:eastAsia="ar-SA"/>
        </w:rPr>
        <w:t xml:space="preserve"> Do zadań Partnera w </w:t>
      </w:r>
      <w:r>
        <w:rPr>
          <w:rFonts w:eastAsia="Calibri" w:cs="Times New Roman" w:ascii="Times New Roman" w:hAnsi="Times New Roman"/>
          <w:sz w:val="24"/>
          <w:szCs w:val="24"/>
          <w:u w:val="single"/>
          <w:lang w:eastAsia="ar-SA"/>
        </w:rPr>
        <w:t>zakresie zarządzania finansami</w:t>
      </w:r>
      <w:r>
        <w:rPr>
          <w:rFonts w:eastAsia="Calibri" w:cs="Times New Roman" w:ascii="Times New Roman" w:hAnsi="Times New Roman"/>
          <w:sz w:val="24"/>
          <w:szCs w:val="24"/>
          <w:lang w:eastAsia="ar-SA"/>
        </w:rPr>
        <w:t xml:space="preserve"> należeć będzie w szczególności:</w:t>
      </w:r>
    </w:p>
    <w:p>
      <w:pPr>
        <w:pStyle w:val="Normal"/>
        <w:numPr>
          <w:ilvl w:val="0"/>
          <w:numId w:val="1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niezwłocznie po otrzymaniu informacji o przyjęciu Wniosku o dofinansowanie do realizacji założenie odrębnego rachunku bankowego, który będzie przeznaczony na cele Projektu (rozliczeń środków pieniężnych dofinansowania), w przypadku zmiany numeru rachunku bankowego Partner zobowiązanym jest do niezwłocznego pisemnego poinformowania Lidera Konsorcjum o zmianie właściwego rachunku bankowego;</w:t>
      </w:r>
    </w:p>
    <w:p>
      <w:pPr>
        <w:pStyle w:val="Normal"/>
        <w:numPr>
          <w:ilvl w:val="0"/>
          <w:numId w:val="1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prowadzenie w sposób przejrzysty i rzetelny, umożliwiający identyfikację poszczególnych operacji księgowych wyodrębnionej ewidencji księgowej w zakresie tej części Projektu, za którą odpowiada dany Partner;</w:t>
      </w:r>
    </w:p>
    <w:p>
      <w:pPr>
        <w:pStyle w:val="Normal"/>
        <w:numPr>
          <w:ilvl w:val="0"/>
          <w:numId w:val="1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zapewnienie realizacji obowiązków sprawozdawczych wynikających z Umowy o dofinansowanie, w tym zwłaszcza obsługi księgowej Projektu zgodnie z przepisami prawa, w szczególności Ustawą o rachunkowości z dnia 29 września 1994 r.;</w:t>
      </w:r>
    </w:p>
    <w:p>
      <w:pPr>
        <w:pStyle w:val="Normal"/>
        <w:numPr>
          <w:ilvl w:val="0"/>
          <w:numId w:val="17"/>
        </w:numPr>
        <w:suppressAutoHyphens w:val="true"/>
        <w:spacing w:lineRule="auto" w:line="240" w:before="0" w:after="0"/>
        <w:jc w:val="both"/>
        <w:rPr>
          <w:rFonts w:ascii="Times New Roman" w:hAnsi="Times New Roman" w:eastAsia="Calibri" w:cs="Times New Roman"/>
          <w:sz w:val="24"/>
          <w:szCs w:val="24"/>
          <w:lang w:eastAsia="ar-SA"/>
        </w:rPr>
      </w:pPr>
      <w:bookmarkStart w:id="5" w:name="_Hlk29844519"/>
      <w:bookmarkEnd w:id="5"/>
      <w:r>
        <w:rPr>
          <w:rFonts w:eastAsia="Calibri" w:cs="Times New Roman" w:ascii="Times New Roman" w:hAnsi="Times New Roman"/>
          <w:sz w:val="24"/>
          <w:szCs w:val="24"/>
          <w:lang w:eastAsia="ar-SA"/>
        </w:rPr>
        <w:t>wyznaczenie osoby ds. finansowych i rozliczeń, która w szczególności zobowiązana i uprawniona będzie do:</w:t>
      </w:r>
    </w:p>
    <w:p>
      <w:pPr>
        <w:pStyle w:val="Normal"/>
        <w:numPr>
          <w:ilvl w:val="0"/>
          <w:numId w:val="18"/>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współpracy z Koordynatorem ds. finansowych i rozliczeń Biura Lidera, ustalania wspólnych zasad rozliczania Projektu;</w:t>
      </w:r>
    </w:p>
    <w:p>
      <w:pPr>
        <w:pStyle w:val="Normal"/>
        <w:numPr>
          <w:ilvl w:val="0"/>
          <w:numId w:val="18"/>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nadzoru nad poprawnością procesu rozliczeniowego po stronie Partnera, a w szczególności dbałości o dotrzymywanie zasad i terminów wymaganych przez NCBR;</w:t>
      </w:r>
    </w:p>
    <w:p>
      <w:pPr>
        <w:pStyle w:val="Normal"/>
        <w:numPr>
          <w:ilvl w:val="0"/>
          <w:numId w:val="18"/>
        </w:numPr>
        <w:suppressAutoHyphens w:val="true"/>
        <w:spacing w:lineRule="auto" w:line="276" w:before="0" w:after="0"/>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udzielania wszelkich informacji i wyjaśnień dotyczących kwestii finansowych związanych z realizacją Projektu na żądanie Biura Lidera;</w:t>
      </w:r>
    </w:p>
    <w:p>
      <w:pPr>
        <w:pStyle w:val="Normal"/>
        <w:numPr>
          <w:ilvl w:val="0"/>
          <w:numId w:val="17"/>
        </w:numPr>
        <w:suppressAutoHyphens w:val="true"/>
        <w:spacing w:lineRule="auto" w:line="276"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wyznaczenie osoby ds. zamówień publicznych, która w szczególności zobowiązana i uprawniona będzie do:</w:t>
      </w:r>
    </w:p>
    <w:p>
      <w:pPr>
        <w:pStyle w:val="Normal"/>
        <w:numPr>
          <w:ilvl w:val="0"/>
          <w:numId w:val="19"/>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przygotowania i przeprowadzenia postępowania o udzielenie zamówienia publicznego w sposób zapewniający zachowanie uczciwej konkurencji i równe traktowanie oferentów. Udzielanie zamówienia publicznego w ramach projektu następuje zgodnie z:</w:t>
      </w:r>
    </w:p>
    <w:p>
      <w:pPr>
        <w:pStyle w:val="Normal"/>
        <w:numPr>
          <w:ilvl w:val="0"/>
          <w:numId w:val="20"/>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ustawą Pzp – w przypadku, gdy wymóg jej stosowania wynika z ustawy;</w:t>
      </w:r>
    </w:p>
    <w:p>
      <w:pPr>
        <w:pStyle w:val="Normal"/>
        <w:numPr>
          <w:ilvl w:val="0"/>
          <w:numId w:val="20"/>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zasadą konkurencyjności, określoną w Wytycznych dotyczących kwalifikowalności wydatków w ramach Europejskiego Funduszu Rozwoju Regionalnego, Europejskiego Funduszu Społecznego oraz Funduszu Spójności w okresie programowania 2014-2020, Wytycznych w zakresie kwalifikowalności wydatków w ramach Programu Operacyjnego Inteligentny Rozwój 2014-2020 oraz  Przewodniku kwalifikowalności kosztów dla projektów składanych w konkursie ogłoszonym w 2019 r. w ramach Poddziałania 4.1.4 Programu Operacyjnego Inteligentny Rozwój 2014-2020, stanowiącym załącznik nr 1 do Regulaminu przeprowadzania konkursu;</w:t>
      </w:r>
    </w:p>
    <w:p>
      <w:pPr>
        <w:pStyle w:val="Normal"/>
        <w:numPr>
          <w:ilvl w:val="0"/>
          <w:numId w:val="19"/>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współpraca z podmiotami uprawnionymi do przeprowadzenia czynności kontrolnych lub audytowych w zakresie niezbędnym do przeprowadzenia kontroli.</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14.</w:t>
      </w:r>
      <w:r>
        <w:rPr>
          <w:rFonts w:eastAsia="Calibri" w:cs="Times New Roman" w:ascii="Times New Roman" w:hAnsi="Times New Roman"/>
          <w:sz w:val="24"/>
          <w:szCs w:val="24"/>
          <w:lang w:eastAsia="ar-SA"/>
        </w:rPr>
        <w:t xml:space="preserve"> Do zadań Partnera w </w:t>
      </w:r>
      <w:r>
        <w:rPr>
          <w:rFonts w:eastAsia="Calibri" w:cs="Times New Roman" w:ascii="Times New Roman" w:hAnsi="Times New Roman"/>
          <w:sz w:val="24"/>
          <w:szCs w:val="24"/>
          <w:u w:val="single"/>
          <w:lang w:eastAsia="ar-SA"/>
        </w:rPr>
        <w:t>zakresie informacji i promocji</w:t>
      </w:r>
      <w:r>
        <w:rPr>
          <w:rFonts w:eastAsia="Calibri" w:cs="Times New Roman" w:ascii="Times New Roman" w:hAnsi="Times New Roman"/>
          <w:sz w:val="24"/>
          <w:szCs w:val="24"/>
          <w:lang w:eastAsia="ar-SA"/>
        </w:rPr>
        <w:t xml:space="preserve"> należeć będzie w szczególności:</w:t>
      </w:r>
    </w:p>
    <w:p>
      <w:pPr>
        <w:pStyle w:val="Normal"/>
        <w:numPr>
          <w:ilvl w:val="0"/>
          <w:numId w:val="21"/>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terminowe i rzetelne dostarczanie Liderowi Konsorcjum informacji niezbędnych do opracowania strategii informacyjno-promocyjnej, </w:t>
      </w:r>
    </w:p>
    <w:p>
      <w:pPr>
        <w:pStyle w:val="Normal"/>
        <w:numPr>
          <w:ilvl w:val="0"/>
          <w:numId w:val="21"/>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wyznaczenie osoby ds. promocji, która w szczególności zobowiązana i uprawniona będzie do:</w:t>
      </w:r>
    </w:p>
    <w:p>
      <w:pPr>
        <w:pStyle w:val="Normal"/>
        <w:numPr>
          <w:ilvl w:val="0"/>
          <w:numId w:val="22"/>
        </w:numPr>
        <w:tabs>
          <w:tab w:val="left" w:pos="90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współpracy z osobą ds. promocji z Biura Lidera w zakresie opracowywania materiałów informacyjno-promocyjnych, opracowywania i wdrażania strategii promocji na poziomie regionalnym;</w:t>
      </w:r>
    </w:p>
    <w:p>
      <w:pPr>
        <w:pStyle w:val="Normal"/>
        <w:numPr>
          <w:ilvl w:val="0"/>
          <w:numId w:val="22"/>
        </w:numPr>
        <w:tabs>
          <w:tab w:val="left" w:pos="90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koordynowania aktywności informacyjnej i promocyjnej w mediach lokalnych;</w:t>
      </w:r>
    </w:p>
    <w:p>
      <w:pPr>
        <w:pStyle w:val="Normal"/>
        <w:numPr>
          <w:ilvl w:val="0"/>
          <w:numId w:val="22"/>
        </w:numPr>
        <w:tabs>
          <w:tab w:val="left" w:pos="90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dokumentowania regionalnych działań dotyczących promocji Projektu;</w:t>
      </w:r>
    </w:p>
    <w:p>
      <w:pPr>
        <w:pStyle w:val="Normal"/>
        <w:numPr>
          <w:ilvl w:val="0"/>
          <w:numId w:val="21"/>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prowadzenie akcji informacyjno-promocyjnej przez Partnera w zakresie i formie zatwierdzonej przez Lidera Projektu;</w:t>
      </w:r>
    </w:p>
    <w:p>
      <w:pPr>
        <w:pStyle w:val="Normal"/>
        <w:numPr>
          <w:ilvl w:val="0"/>
          <w:numId w:val="21"/>
        </w:numPr>
        <w:tabs>
          <w:tab w:val="left" w:pos="540" w:leader="none"/>
        </w:tabs>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informowanie we współpracy z Liderem Konsorcjum opinii publicznej o realizacji Projektu w ramach PO IR współfinansowanego z Europejskiego Funduszu Rozwoju Regionalnego, zwłaszcza poprzez właściwe oznaczanie dokumentów (materiałów promocyjnych, informacyjnych i innych) dotyczących Projektu, oznaczanie budynków i pomieszczeń, w których realizowany jest Projekt, oznaczania wyposażenia finansowanego w ramach Projektu, zarówno w trakcie realizacji Projektu, jak i po jego zakończeniu, oraz stosowanie pkt. 2.2 </w:t>
      </w:r>
      <w:r>
        <w:rPr>
          <w:rFonts w:eastAsia="Calibri" w:cs="Times New Roman" w:ascii="Times New Roman" w:hAnsi="Times New Roman"/>
          <w:i/>
          <w:iCs/>
          <w:sz w:val="24"/>
          <w:szCs w:val="24"/>
          <w:lang w:eastAsia="ar-SA"/>
        </w:rPr>
        <w:t xml:space="preserve">Obowiązki beneficjentów </w:t>
      </w:r>
      <w:r>
        <w:rPr>
          <w:rFonts w:eastAsia="Calibri" w:cs="Times New Roman" w:ascii="Times New Roman" w:hAnsi="Times New Roman"/>
          <w:sz w:val="24"/>
          <w:szCs w:val="24"/>
          <w:lang w:eastAsia="ar-SA"/>
        </w:rPr>
        <w:t>załącznika XII do rozporządzenia PE i Rady (UE) nr 1303/2013 z dnia 17 grudnia 2013 r. oraz rozporządzenia wykonawczego Komisji (UE) nr 821/2014 z dnia 28 lipca 2014 r.</w:t>
      </w:r>
    </w:p>
    <w:p>
      <w:pPr>
        <w:pStyle w:val="Normal"/>
        <w:suppressAutoHyphens w:val="true"/>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5</w:t>
      </w:r>
    </w:p>
    <w:p>
      <w:pPr>
        <w:pStyle w:val="Normal"/>
        <w:suppressAutoHyphens w:val="true"/>
        <w:spacing w:lineRule="auto" w:line="276"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val="x-none" w:eastAsia="ar-SA"/>
        </w:rPr>
        <w:t>Środki finansowe w podziale na Partnerów, zasady zarządzania finansowego</w:t>
      </w:r>
    </w:p>
    <w:p>
      <w:pPr>
        <w:pStyle w:val="Normal"/>
        <w:suppressAutoHyphens w:val="true"/>
        <w:spacing w:lineRule="auto" w:line="276"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Za zarządzanie finansowe zgodne z </w:t>
      </w:r>
      <w:r>
        <w:rPr>
          <w:rFonts w:eastAsia="Calibri" w:cs="Times New Roman" w:ascii="Times New Roman" w:hAnsi="Times New Roman"/>
          <w:sz w:val="24"/>
          <w:szCs w:val="24"/>
          <w:lang w:eastAsia="ar-SA"/>
        </w:rPr>
        <w:t xml:space="preserve">Harmonogramem rzeczowo – finansowym </w:t>
      </w:r>
      <w:r>
        <w:rPr>
          <w:rFonts w:eastAsia="Calibri" w:cs="Times New Roman" w:ascii="Times New Roman" w:hAnsi="Times New Roman"/>
          <w:sz w:val="24"/>
          <w:szCs w:val="24"/>
          <w:lang w:val="x-none" w:eastAsia="ar-SA"/>
        </w:rPr>
        <w:t xml:space="preserve">(podział środków finansowych na poszczególnych Partnerów) stanowiącym </w:t>
      </w:r>
      <w:r>
        <w:rPr>
          <w:rFonts w:eastAsia="Calibri" w:cs="Times New Roman" w:ascii="Times New Roman" w:hAnsi="Times New Roman"/>
          <w:sz w:val="24"/>
          <w:szCs w:val="24"/>
          <w:lang w:eastAsia="ar-SA"/>
        </w:rPr>
        <w:t xml:space="preserve">element wniosku o dofinansowanie </w:t>
      </w:r>
      <w:r>
        <w:rPr>
          <w:rFonts w:eastAsia="Calibri" w:cs="Times New Roman" w:ascii="Times New Roman" w:hAnsi="Times New Roman"/>
          <w:sz w:val="24"/>
          <w:szCs w:val="24"/>
          <w:lang w:val="x-none" w:eastAsia="ar-SA"/>
        </w:rPr>
        <w:t>odpowiedzialny będzie Lider Konsorcjum.</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Wszelkie decyzje związane z przekazaniem środków finansowych z rachunku bankowego Projektu na rachunki bankowe Partnerów podejmować będzie Lider Konsorcjum.</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Lider Konsorcjum przekazuje środki finansowe Partnerowi</w:t>
      </w:r>
      <w:r>
        <w:rPr>
          <w:rFonts w:eastAsia="Calibri" w:cs="Times New Roman" w:ascii="Times New Roman" w:hAnsi="Times New Roman"/>
          <w:sz w:val="24"/>
          <w:szCs w:val="24"/>
          <w:lang w:eastAsia="ar-SA"/>
        </w:rPr>
        <w:t xml:space="preserve"> w terminie 7 dni od dnia wpływu środków na rachunek bankowy Projektu</w:t>
      </w:r>
      <w:r>
        <w:rPr>
          <w:rFonts w:eastAsia="Calibri" w:cs="Times New Roman" w:ascii="Times New Roman" w:hAnsi="Times New Roman"/>
          <w:sz w:val="24"/>
          <w:szCs w:val="24"/>
          <w:lang w:val="x-none" w:eastAsia="ar-SA"/>
        </w:rPr>
        <w:t>, o ile Partner wywiązał się ze swoich obowiązków wynikających z niniejszej umowy oraz Wniosku</w:t>
      </w:r>
      <w:r>
        <w:rPr>
          <w:rFonts w:eastAsia="Calibri" w:cs="Times New Roman" w:ascii="Times New Roman" w:hAnsi="Times New Roman"/>
          <w:sz w:val="24"/>
          <w:szCs w:val="24"/>
          <w:lang w:eastAsia="ar-SA"/>
        </w:rPr>
        <w:t xml:space="preserve"> o dofinansowanie</w:t>
      </w:r>
      <w:r>
        <w:rPr>
          <w:rFonts w:eastAsia="Calibri" w:cs="Times New Roman" w:ascii="Times New Roman" w:hAnsi="Times New Roman"/>
          <w:sz w:val="24"/>
          <w:szCs w:val="24"/>
          <w:lang w:val="x-none" w:eastAsia="ar-SA"/>
        </w:rPr>
        <w:t>, a na rachunku bankowym Projektu znajdują się wystarczające środki finansowe przeznaczone na ten cel przez NCBR.</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4.</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 xml:space="preserve">Wszelkie decyzje dotyczące wydatkowania środków finansowych zgodnie z niniejszą umową, Wnioskiem </w:t>
      </w:r>
      <w:r>
        <w:rPr>
          <w:rFonts w:eastAsia="Calibri" w:cs="Times New Roman" w:ascii="Times New Roman" w:hAnsi="Times New Roman"/>
          <w:sz w:val="24"/>
          <w:szCs w:val="24"/>
          <w:lang w:eastAsia="ar-SA"/>
        </w:rPr>
        <w:t xml:space="preserve">o dofinansowanie </w:t>
      </w:r>
      <w:r>
        <w:rPr>
          <w:rFonts w:eastAsia="Calibri" w:cs="Times New Roman" w:ascii="Times New Roman" w:hAnsi="Times New Roman"/>
          <w:sz w:val="24"/>
          <w:szCs w:val="24"/>
          <w:lang w:val="x-none" w:eastAsia="ar-SA"/>
        </w:rPr>
        <w:t>oraz z zasadami kwalifikowalności wydatków w ramach PO I</w:t>
      </w:r>
      <w:r>
        <w:rPr>
          <w:rFonts w:eastAsia="Calibri" w:cs="Times New Roman" w:ascii="Times New Roman" w:hAnsi="Times New Roman"/>
          <w:sz w:val="24"/>
          <w:szCs w:val="24"/>
          <w:lang w:eastAsia="ar-SA"/>
        </w:rPr>
        <w:t>R</w:t>
      </w:r>
      <w:r>
        <w:rPr>
          <w:rFonts w:eastAsia="Calibri" w:cs="Times New Roman" w:ascii="Times New Roman" w:hAnsi="Times New Roman"/>
          <w:sz w:val="24"/>
          <w:szCs w:val="24"/>
          <w:lang w:val="x-none" w:eastAsia="ar-SA"/>
        </w:rPr>
        <w:t>, podejmuje każdy z Partnerów z osobna w zakresie środków finansowych wypłaconych Partnerowi na realizację zadań Projektu, przy czym osoby ds. finansowych i rozliczeń Biur Partnerów odpowiadają za poprawność formalno rachunkową dokumentów, a Koordynatorzy Biur Partnerów za poprawność merytoryczną (akceptacja merytoryczna).</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Konsekwencje związane</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z zakwestionowaniem przez NCBR prawidłowości poniesionych przez Partnera wydatków ponosi Partner. Lider Konsorcjum nie odpowiada wobec Partnerów za wstrzymanie całości lub części finansowania Projektu z powodu błędnego lub niewłaściwego przygotowania przez Partnerów informacji do wniosku o płatność lub do okresowych sprawozdań z realizacji Projektu.</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Partnerzy zobowiązują się do niezwłocznego dostarczania Liderowi Konsorcjum wszystkich informacji i dokumentów niezbędnych do terminowego złożenia wniosku o płatność.</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7.</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Rozliczenia pomiędzy stronami umowy dotyczą wartości Projektu określonej w Umowie o dofinansowanie</w:t>
      </w:r>
      <w:r>
        <w:rPr>
          <w:rFonts w:eastAsia="Calibri" w:cs="Times New Roman" w:ascii="Times New Roman" w:hAnsi="Times New Roman"/>
          <w:sz w:val="24"/>
          <w:szCs w:val="24"/>
          <w:lang w:eastAsia="ar-SA"/>
        </w:rPr>
        <w:t xml:space="preserve"> Projektu</w:t>
      </w:r>
      <w:r>
        <w:rPr>
          <w:rFonts w:eastAsia="Calibri" w:cs="Times New Roman" w:ascii="Times New Roman" w:hAnsi="Times New Roman"/>
          <w:sz w:val="24"/>
          <w:szCs w:val="24"/>
          <w:lang w:val="x-none" w:eastAsia="ar-SA"/>
        </w:rPr>
        <w:t>.</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8.</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Wypłata środków finansowych dla Partnera będzie odbywać się w formie przyjętej w Umowie o dofinansowanie Projektu.</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9.</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Przekazywanie środków finansowych na realizację zadań Projektu zależne będzie od tego, czy Partner wywiązał się ze swoich obowiązków wynikających z niniejszej umowy, a także od tego czy na rachunku Lidera Konsorcjum znajdują się wystarczające środki finansowe przeznaczone na ten cel przez NCBR. Lider Konsorcjum dołoży wszelkich starań by poszczególne transze środków finansowych przekazywane były na konto przez NCBR zgodnie z obowiązującym harmonogramem płatności</w:t>
      </w:r>
      <w:r>
        <w:rPr>
          <w:rFonts w:eastAsia="Calibri" w:cs="Times New Roman" w:ascii="Times New Roman" w:hAnsi="Times New Roman"/>
          <w:sz w:val="24"/>
          <w:szCs w:val="24"/>
          <w:lang w:eastAsia="ar-SA"/>
        </w:rPr>
        <w:t>.</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10.</w:t>
      </w: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val="x-none" w:eastAsia="ar-SA"/>
        </w:rPr>
        <w:t xml:space="preserve">Każdy z Partnerów w sposób autonomiczny zarządza własnym budżetem zgodnie </w:t>
      </w:r>
      <w:r>
        <w:rPr>
          <w:rFonts w:eastAsia="Calibri" w:cs="Times New Roman" w:ascii="Times New Roman" w:hAnsi="Times New Roman"/>
          <w:sz w:val="24"/>
          <w:szCs w:val="24"/>
          <w:lang w:eastAsia="ar-SA"/>
        </w:rPr>
        <w:br/>
      </w:r>
      <w:r>
        <w:rPr>
          <w:rFonts w:eastAsia="Calibri" w:cs="Times New Roman" w:ascii="Times New Roman" w:hAnsi="Times New Roman"/>
          <w:sz w:val="24"/>
          <w:szCs w:val="24"/>
          <w:lang w:val="x-none" w:eastAsia="ar-SA"/>
        </w:rPr>
        <w:t xml:space="preserve">z celem i zakresem Projektu. </w:t>
      </w:r>
    </w:p>
    <w:p>
      <w:pPr>
        <w:pStyle w:val="Normal"/>
        <w:suppressAutoHyphens w:val="true"/>
        <w:spacing w:lineRule="auto" w:line="240" w:before="0" w:after="0"/>
        <w:ind w:left="426" w:hanging="0"/>
        <w:jc w:val="both"/>
        <w:rPr>
          <w:rFonts w:ascii="Times New Roman" w:hAnsi="Times New Roman" w:eastAsia="Calibri" w:cs="Times New Roman"/>
          <w:sz w:val="24"/>
          <w:szCs w:val="24"/>
          <w:lang w:val="x-none" w:eastAsia="ar-SA"/>
        </w:rPr>
      </w:pPr>
      <w:r>
        <w:rPr>
          <w:rFonts w:eastAsia="Calibri" w:cs="Times New Roman" w:ascii="Times New Roman" w:hAnsi="Times New Roman"/>
          <w:b/>
          <w:bCs/>
          <w:sz w:val="24"/>
          <w:szCs w:val="24"/>
          <w:lang w:eastAsia="ar-SA"/>
        </w:rPr>
        <w:t>11.</w:t>
      </w:r>
      <w:r>
        <w:rPr>
          <w:rFonts w:eastAsia="Calibri" w:cs="Times New Roman" w:ascii="Times New Roman" w:hAnsi="Times New Roman"/>
          <w:sz w:val="24"/>
          <w:szCs w:val="24"/>
          <w:lang w:eastAsia="ar-SA"/>
        </w:rPr>
        <w:t xml:space="preserve"> W przypadku otrzymania dofinansowania na realizację Projektu powstanie odrębny dokument „Procedury realizacji Projektu” obejmujący między innymi:</w:t>
      </w:r>
    </w:p>
    <w:p>
      <w:pPr>
        <w:pStyle w:val="Normal"/>
        <w:numPr>
          <w:ilvl w:val="0"/>
          <w:numId w:val="23"/>
        </w:numPr>
        <w:suppressAutoHyphens w:val="true"/>
        <w:spacing w:lineRule="auto" w:line="240" w:before="0" w:after="0"/>
        <w:jc w:val="both"/>
        <w:rPr>
          <w:rFonts w:ascii="Times New Roman" w:hAnsi="Times New Roman" w:eastAsia="Calibri" w:cs="Times New Roman"/>
          <w:sz w:val="24"/>
          <w:szCs w:val="24"/>
          <w:lang w:val="x-none" w:eastAsia="ar-SA"/>
        </w:rPr>
      </w:pPr>
      <w:bookmarkStart w:id="6" w:name="OLE_LINK10"/>
      <w:r>
        <w:rPr>
          <w:rFonts w:eastAsia="Calibri" w:cs="Times New Roman" w:ascii="Times New Roman" w:hAnsi="Times New Roman"/>
          <w:sz w:val="24"/>
          <w:szCs w:val="24"/>
          <w:lang w:eastAsia="ar-SA"/>
        </w:rPr>
        <w:t>określenie zasad i terminów dostarczania Liderowi konsorcjum przez konsorcjantów  informacji niezbędnych do prawidłowej realizacji umowy o dofinansowanie projektu, w szczególności informacji niezbędnych do przygotowania wniosków o płatność, raportów okresowych, informacji końcowej, sprawozdania z wdrożenia, informacji o efektach społecznych i gospodarczych wdrożenia oraz sprawozdania z rozpowszechniania wyników badań przemysłowych i prac rozwojowych, albo prac rozwojowych;</w:t>
      </w:r>
    </w:p>
    <w:p>
      <w:pPr>
        <w:pStyle w:val="Normal"/>
        <w:numPr>
          <w:ilvl w:val="0"/>
          <w:numId w:val="23"/>
        </w:numPr>
        <w:suppressAutoHyphens w:val="true"/>
        <w:spacing w:lineRule="auto" w:line="240" w:before="0" w:after="0"/>
        <w:jc w:val="both"/>
        <w:rPr>
          <w:rFonts w:ascii="Times New Roman" w:hAnsi="Times New Roman" w:eastAsia="Calibri" w:cs="Times New Roman"/>
          <w:sz w:val="24"/>
          <w:szCs w:val="24"/>
          <w:lang w:val="x-none" w:eastAsia="ar-SA"/>
        </w:rPr>
      </w:pPr>
      <w:r>
        <w:rPr>
          <w:rFonts w:eastAsia="Calibri" w:cs="Times New Roman" w:ascii="Times New Roman" w:hAnsi="Times New Roman"/>
          <w:sz w:val="24"/>
          <w:szCs w:val="24"/>
          <w:lang w:eastAsia="ar-SA"/>
        </w:rPr>
        <w:t>określenie zasad i terminów dostarczania Liderowi konsorcjum przez konsorcjantów kopii informacji pokontrolnych oraz zaleceń pokontrolnych lub innych równoważnych dokumentów sporządzonych przez instytucje kontrolujące, jeżeli wyniki kontroli dotyczą projektu; kopie powinny być potwierdzone za zgodność z oryginałem;</w:t>
      </w:r>
    </w:p>
    <w:p>
      <w:pPr>
        <w:pStyle w:val="Normal"/>
        <w:numPr>
          <w:ilvl w:val="0"/>
          <w:numId w:val="23"/>
        </w:numPr>
        <w:suppressAutoHyphens w:val="true"/>
        <w:spacing w:lineRule="auto" w:line="240" w:before="0" w:after="0"/>
        <w:jc w:val="both"/>
        <w:rPr>
          <w:rFonts w:ascii="Times New Roman" w:hAnsi="Times New Roman" w:eastAsia="Calibri" w:cs="Times New Roman"/>
          <w:sz w:val="24"/>
          <w:szCs w:val="24"/>
          <w:lang w:val="x-none" w:eastAsia="ar-SA"/>
        </w:rPr>
      </w:pPr>
      <w:r>
        <w:rPr>
          <w:rFonts w:eastAsia="Calibri" w:cs="Times New Roman" w:ascii="Times New Roman" w:hAnsi="Times New Roman"/>
          <w:sz w:val="24"/>
          <w:szCs w:val="24"/>
          <w:lang w:eastAsia="ar-SA"/>
        </w:rPr>
        <w:t>określenie zasad i terminów dostarczania Liderowi konsorcjum przez konsorcjantów kopii dokumentów dotyczących poniesionych kosztów (nie dotyczy kosztów ogólnych rozliczanych metodą ryczałtową); kopie powinny być potwierdzone za zgodność z oryginałem;</w:t>
      </w:r>
    </w:p>
    <w:p>
      <w:pPr>
        <w:pStyle w:val="Normal"/>
        <w:numPr>
          <w:ilvl w:val="0"/>
          <w:numId w:val="23"/>
        </w:numPr>
        <w:suppressAutoHyphens w:val="true"/>
        <w:spacing w:lineRule="auto" w:line="240" w:before="0" w:after="0"/>
        <w:jc w:val="both"/>
        <w:rPr>
          <w:rFonts w:ascii="Times New Roman" w:hAnsi="Times New Roman" w:eastAsia="Calibri" w:cs="Times New Roman"/>
          <w:sz w:val="24"/>
          <w:szCs w:val="24"/>
          <w:lang w:val="x-none" w:eastAsia="ar-SA"/>
        </w:rPr>
      </w:pPr>
      <w:r>
        <w:rPr>
          <w:rFonts w:eastAsia="Calibri" w:cs="Times New Roman" w:ascii="Times New Roman" w:hAnsi="Times New Roman"/>
          <w:sz w:val="24"/>
          <w:szCs w:val="24"/>
          <w:lang w:eastAsia="ar-SA"/>
        </w:rPr>
        <w:t>określenie zasad i terminów dostarczania Liderowi konsorcjum przez konsorcjantów kopii umowy licencyjnej/kopii umowy sprzedaży praw do wyników badań przemysłowych i prac rozwojowych, albo prac rozwojowych zawartej z licencjobiorcą/nabywcą praw do wyników tychże badań i prac oraz aneksów do zawartych umów (jeśli wdrożenie wyników projektu przyjmuje formę sprzedaży praw do wyników lub udzielenia licencji na korzystanie z praw do wyników); kopie te powinny być potwierdzone za zgodność z oryginałem;</w:t>
      </w:r>
    </w:p>
    <w:p>
      <w:pPr>
        <w:pStyle w:val="Normal"/>
        <w:numPr>
          <w:ilvl w:val="0"/>
          <w:numId w:val="23"/>
        </w:numPr>
        <w:suppressAutoHyphens w:val="true"/>
        <w:spacing w:lineRule="auto" w:line="240" w:before="0" w:after="0"/>
        <w:jc w:val="both"/>
        <w:rPr>
          <w:rFonts w:ascii="Times New Roman" w:hAnsi="Times New Roman" w:eastAsia="Calibri" w:cs="Times New Roman"/>
          <w:sz w:val="24"/>
          <w:szCs w:val="24"/>
          <w:lang w:eastAsia="ar-SA"/>
        </w:rPr>
      </w:pPr>
      <w:bookmarkStart w:id="7" w:name="OLE_LINK10"/>
      <w:r>
        <w:rPr>
          <w:rFonts w:eastAsia="Calibri" w:cs="Times New Roman" w:ascii="Times New Roman" w:hAnsi="Times New Roman"/>
          <w:sz w:val="24"/>
          <w:szCs w:val="24"/>
          <w:lang w:val="x-none" w:eastAsia="ar-SA"/>
        </w:rPr>
        <w:t>określenie zasad i terminów dostarczenia Liderowi konsorcjum przez konsorcjantów oświadczeń o wprowadzeniu wyników badań przemysłowych i prac rozwojowych, albo prac rozwojowych do działalności gospodarczej nabywcy/licencjobiorcy</w:t>
      </w:r>
      <w:bookmarkEnd w:id="7"/>
      <w:r>
        <w:rPr>
          <w:rFonts w:eastAsia="Calibri" w:cs="Times New Roman" w:ascii="Times New Roman" w:hAnsi="Times New Roman"/>
          <w:sz w:val="24"/>
          <w:szCs w:val="24"/>
          <w:lang w:eastAsia="ar-SA"/>
        </w:rPr>
        <w:t>.</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iCs/>
          <w:sz w:val="24"/>
          <w:szCs w:val="24"/>
          <w:lang w:eastAsia="ar-SA"/>
        </w:rPr>
        <w:t>12.</w:t>
      </w:r>
      <w:r>
        <w:rPr>
          <w:rFonts w:eastAsia="Calibri" w:cs="Times New Roman" w:ascii="Times New Roman" w:hAnsi="Times New Roman"/>
          <w:bCs/>
          <w:iCs/>
          <w:sz w:val="24"/>
          <w:szCs w:val="24"/>
          <w:lang w:eastAsia="ar-SA"/>
        </w:rPr>
        <w:t xml:space="preserve"> </w:t>
      </w:r>
      <w:r>
        <w:rPr>
          <w:rFonts w:eastAsia="Calibri" w:cs="Times New Roman" w:ascii="Times New Roman" w:hAnsi="Times New Roman"/>
          <w:sz w:val="24"/>
          <w:szCs w:val="24"/>
          <w:lang w:eastAsia="ar-SA"/>
        </w:rPr>
        <w:t xml:space="preserve">Zgodnie z wytycznymi dotyczącymi intensywności pomocy publicznej Partner Projektu mający status przedsiębiorcy zobowiązuje się do: </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a) zaangażowania własnych środków finansowych w realizację Projektu i wdrożenie jego rezultatów, jednocześnie w wypadku ubiegania się o zwiększenie intensywności wsparcia na badania przemysłowe i prace rozwojowe albo prace rozwojowe z tytułu szerokiego rozpowszechniania wyników badań przemysłowych i prac rozwojowych albo prac rozwojowych, Partner zobowiąże się do określenia sposobów upowszechniania wyników,</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b) niezwłocznego informowania Lidera Konsorcjum przez Partnerów o uzyskanej pomocy publicznej oraz pomocy de minimis przeznaczonej na te same koszty kwalifikujące się do objęcia pomocą, na pokrycie których ubiegał się o pomoc publiczną oraz o obowiązku zwrotu pomocy wynikającym z decyzji Komisji Europejskiej,</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c) niezwłocznego informowania Lidera Konsorcjum przez Partnerów o prawomocnym orzeczeniu względem Partnera zakazu, o którym mowa w art. 12 ust. 1 ustawy z dnia 15 czerwca 2012 r. o skutkach powierzenia wykonywania pracy cudzoziemcom przebywającym wbrew przepisom na terytorium Rzeczypospolitej Polskiej lub gdy wobec Partnera lub osób za które ponosi on odpowiedzialność, na podstawie ustawy z dnia 28 października 2002 r. o odpowiedzialności podmiotów zbiorowych za czyny zabronione pod groźbą kary, zostało wszczęte postępowanie przygotowawcze w sprawie mogącej mieć wpływ na realizację Projektu</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13.</w:t>
      </w:r>
      <w:r>
        <w:rPr>
          <w:rFonts w:eastAsia="Calibri" w:cs="Times New Roman" w:ascii="Times New Roman" w:hAnsi="Times New Roman"/>
          <w:sz w:val="24"/>
          <w:szCs w:val="24"/>
          <w:lang w:eastAsia="ar-SA"/>
        </w:rPr>
        <w:t xml:space="preserve"> Niezwłocznego informowania Lidera Konsorcjum przez Partnerów o uzyskanej pomocy publicznej oraz pomocy de minimis przeznaczonej na te same koszty kwalifikujące się do objęcia pomocą, na pokrycie których ubiegał się o pomoc publiczną oraz o obowiązku zwrotu pomocy wynikającym z decyzji Komisji Europejskiej.</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14.</w:t>
      </w:r>
      <w:r>
        <w:rPr>
          <w:rFonts w:eastAsia="Calibri" w:cs="Times New Roman" w:ascii="Times New Roman" w:hAnsi="Times New Roman"/>
          <w:sz w:val="24"/>
          <w:szCs w:val="24"/>
          <w:lang w:eastAsia="ar-SA"/>
        </w:rPr>
        <w:t xml:space="preserve"> Niezwłocznego informowania Lidera Konsorcjum przez Partnerów o prawomocnym orzeczeniu względem Partnera zakazu, o którym mowa w art. 12 ust. 1 ustawy z dnia 15 czerwca 2012 r. o skutkach powierzenia wykonywania pracy cudzoziemcom przebywającym wbrew przepisom na terytorium Rzeczypospolitej Polskiej lub gdy wobec Partnera lub osób za które ponosi on odpowiedzialność, na podstawie ustawy z dnia 28 października 2002 r. o odpowiedzialności podmiotów zbiorowych za czyny zabronione pod groźbą kary, zostało wszczęte postępowanie przygotowawcze w sprawie mogącej mieć wpływ na realizację Projektu.</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15.</w:t>
      </w:r>
      <w:r>
        <w:rPr>
          <w:rFonts w:eastAsia="Calibri" w:cs="Times New Roman" w:ascii="Times New Roman" w:hAnsi="Times New Roman"/>
          <w:sz w:val="24"/>
          <w:szCs w:val="24"/>
          <w:lang w:eastAsia="ar-SA"/>
        </w:rPr>
        <w:t xml:space="preserve"> Partnerzy Konsorcjum zobowiązują się  do niezwłocznego poinformowania Lidera Konsorcjum o wykluczeniu z możliwości otrzymania środków przeznaczonych na realizację programów finansowanych z udziałem środków europejskich zgodnie z ustawą o finansach publicznych.</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16.</w:t>
      </w:r>
      <w:r>
        <w:rPr>
          <w:rFonts w:eastAsia="Calibri" w:cs="Times New Roman" w:ascii="Times New Roman" w:hAnsi="Times New Roman"/>
          <w:sz w:val="24"/>
          <w:szCs w:val="24"/>
          <w:lang w:eastAsia="ar-SA"/>
        </w:rPr>
        <w:t xml:space="preserve"> Lider Konsorcjum i Partnerzy Konsorcjum zobowiązują się do współpracy w zakresie oceny śródokresowej Projektu, w tym do uczestnictwa w spotkaniu z ekspertami Instytucji Pośredniczące.</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17.</w:t>
      </w:r>
      <w:r>
        <w:rPr/>
        <w:t xml:space="preserve"> </w:t>
      </w:r>
      <w:r>
        <w:rPr>
          <w:rFonts w:eastAsia="Calibri" w:cs="Times New Roman" w:ascii="Times New Roman" w:hAnsi="Times New Roman"/>
          <w:sz w:val="24"/>
          <w:szCs w:val="24"/>
          <w:lang w:eastAsia="ar-SA"/>
        </w:rPr>
        <w:t>Lider Konsorcjum i Partnerzy Konsorcjum zobowiązują się do zachowania trwałości efektów projektu w rozumieniu art. 71 rozporządzenia PE i Rady (UE) nr 1303/2013 z dnia 17 grudnia 2013 r. przez okres 5 lat (3 lat w przypadku MŚP) od dnia dokonania płatności końcowej na rzecz Lidera Konsorcjum.</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18.</w:t>
      </w:r>
      <w:r>
        <w:rPr>
          <w:rFonts w:eastAsia="Calibri" w:cs="Times New Roman" w:ascii="Times New Roman" w:hAnsi="Times New Roman"/>
          <w:sz w:val="24"/>
          <w:szCs w:val="24"/>
          <w:lang w:eastAsia="ar-SA"/>
        </w:rPr>
        <w:t xml:space="preserve"> Lider Konsorcjum i Partnerzy Konsorcjum zobowiązują się do współpracy w okresie realizacji Projektu oraz w okresie jego trwałości z Instytucją Pośredniczącą lub inną upoważnioną instytucją, a w szczególności do udzielania tym podmiotom wszelkich informacji dotyczących Projektu, przedkładania informacji o efektach ekonomicznych i innych korzyściach powstałych w wyniku realizacji Projektu oraz uczestnictwa w wywiadach, ankietach oraz udostępniania informacji koniecznych dla ewaluacji.</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19.</w:t>
      </w:r>
      <w:r>
        <w:rPr>
          <w:rFonts w:eastAsia="Calibri" w:cs="Times New Roman" w:ascii="Times New Roman" w:hAnsi="Times New Roman"/>
          <w:sz w:val="24"/>
          <w:szCs w:val="24"/>
          <w:lang w:eastAsia="ar-SA"/>
        </w:rPr>
        <w:t xml:space="preserve"> Lider Konsorcjum i Partnerzy Konsorcjum zobowiązują się do ujawniania wszystkich dochodów, w rozumieniu art. 61 ust. 1 rozporządzenia PE i Rady (UE) nr 1303/2013 z dnia 17 grudnia 2013 r., które powstają w związku z realizacją Projektu, według zasad określonych w art. 61 tego rozporządzenia i odpowiednich Wytycznych ministra właściwego do spraw rozwoju regionalnego w zakresie zagadnień związanych z przygotowaniem projektów inwestycyjnych, w tym projektów generujących dochód i projektów hybrydowych na lata 2014-2020.</w:t>
      </w:r>
    </w:p>
    <w:p>
      <w:pPr>
        <w:pStyle w:val="Normal"/>
        <w:suppressAutoHyphens w:val="true"/>
        <w:spacing w:lineRule="auto" w:line="240" w:before="0" w:after="0"/>
        <w:ind w:left="426" w:hanging="0"/>
        <w:jc w:val="both"/>
        <w:rPr>
          <w:rFonts w:ascii="Times New Roman" w:hAnsi="Times New Roman" w:eastAsia="Calibri" w:cs="Times New Roman"/>
          <w:color w:val="00000A"/>
          <w:sz w:val="24"/>
          <w:szCs w:val="24"/>
          <w:lang w:eastAsia="ar-SA"/>
        </w:rPr>
      </w:pPr>
      <w:r>
        <w:rPr>
          <w:rFonts w:eastAsia="Calibri" w:cs="Times New Roman" w:ascii="Times New Roman" w:hAnsi="Times New Roman"/>
          <w:b/>
          <w:bCs/>
          <w:sz w:val="24"/>
          <w:szCs w:val="24"/>
          <w:lang w:eastAsia="ar-SA"/>
        </w:rPr>
        <w:t>20.</w:t>
      </w:r>
      <w:r>
        <w:rPr>
          <w:rFonts w:eastAsia="Calibri" w:cs="Times New Roman" w:ascii="Times New Roman" w:hAnsi="Times New Roman"/>
          <w:sz w:val="24"/>
          <w:szCs w:val="24"/>
          <w:lang w:eastAsia="ar-SA"/>
        </w:rPr>
        <w:t xml:space="preserve"> Lider Konsorcjum i Partnerzy Konsorcjum zobowiązują się do przechowywania w sposób gwarantujący należyte bezpieczeństwo informacji, wszelkich danych związanych z realizacją Projektu, w szczególności dokumentacji związanej z zarządzaniem finansowym, technicznym lub procedurami zawierania umów z wykonawcami, przez okres, o którym mowa w art. 140 rozporządzenia PE i Rady (UE) nr 1303/2013 z dnia 17 grudnia 2013 r. oraz jednocześnie nie krócej, niż przez okres 10 lat od dnia przyznania ostatniej pomocy w ramach programu pomocowego i udostępnianie ich na żądanie upoważnionych organów, oraz udostępniania terenów i pomieszczeń, w których realizowany jest Projekt, związanych z Projektem systemów teleinformatycznych, wszelkich dokumentów elektronicznych związanych z Projektem.</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color w:val="00000A"/>
          <w:sz w:val="24"/>
          <w:szCs w:val="24"/>
          <w:lang w:eastAsia="ar-SA"/>
        </w:rPr>
        <w:t>21.</w:t>
      </w:r>
      <w:r>
        <w:rPr>
          <w:rFonts w:eastAsia="Calibri" w:cs="Times New Roman" w:ascii="Times New Roman" w:hAnsi="Times New Roman"/>
          <w:color w:val="00000A"/>
          <w:sz w:val="24"/>
          <w:szCs w:val="24"/>
          <w:lang w:eastAsia="ar-SA"/>
        </w:rPr>
        <w:t xml:space="preserve"> Lider Konsorcjum i Partnerzy Konsorcjum zobowiązują się do zapewnienia możliwości kontroli i audytu w zakresie realizacji Projektu w okresie wskazanym w art. 23 ust. 3 ustawy z dnia 11 lipca 2014 r. o zasadach realizacji programów w zakresie polityki spójności finansowanych w perspektywie finansowej 2014-2020 oraz składania wszelkich informacji i wyjaśnień (w tym, jeśli jest to konieczne do stwierdzenia kwalifikowalności wydatków ponoszonych w Projekcie, udostępnienia również dokumentów niezwiązanych bezpośrednio z jego realizacją) na żądanie upoważnionych organów, a także do wykonania zaleceń pokontrolnych oraz ewentualne wyjaśnienia przyczyn niewykonania ich w terminie.</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22.</w:t>
      </w:r>
      <w:r>
        <w:rPr>
          <w:rFonts w:eastAsia="Calibri" w:cs="Times New Roman" w:ascii="Times New Roman" w:hAnsi="Times New Roman"/>
          <w:sz w:val="24"/>
          <w:szCs w:val="24"/>
          <w:lang w:eastAsia="ar-SA"/>
        </w:rPr>
        <w:t xml:space="preserve"> Lider Konsorcjum i Partnerzy Konsorcjum zobowiązują się do proporcjonalnego zwrotu dochodu w rozumieniu art. 61 ust. 1 rozporządzenia PE i Rady (UE) nr 1303/2013 z dnia 17 grudnia 2013 r.</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23.</w:t>
      </w:r>
      <w:r>
        <w:rPr>
          <w:rFonts w:eastAsia="Calibri" w:cs="Times New Roman" w:ascii="Times New Roman" w:hAnsi="Times New Roman"/>
          <w:sz w:val="24"/>
          <w:szCs w:val="24"/>
          <w:lang w:eastAsia="ar-SA"/>
        </w:rPr>
        <w:t xml:space="preserve"> Lider Konsorcjum i Partnerzy Konsorcjum zobowiązują się do przekazywania do Głównego Urzędu Statystycznego na podstawie ustawy z dnia 29 czerwca 1995 r. o statystyce publicznej, sprawozdań o działalności badawczej i rozwojowej za rok poprzedni. W tym zakresie Partner ma obowiązek przekazywać Liderowi Konsorcjum w każdym roku realizacji Umowy o dofinansowanie Projektu oraz w okresie trwałości Projektu, kopii sprawozdań o działalności badawczej i rozwojowej za rok poprzedni (w wersji elektronicznej, w formacie xml), składanych w Głównym Urzędzie Statystycznym na podstawie ustawy z dnia 29 czerwca 1995 r. o statystyce publicznej.</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24.</w:t>
      </w:r>
      <w:r>
        <w:rPr>
          <w:rFonts w:eastAsia="Calibri" w:cs="Times New Roman" w:ascii="Times New Roman" w:hAnsi="Times New Roman"/>
          <w:sz w:val="24"/>
          <w:szCs w:val="24"/>
          <w:lang w:eastAsia="ar-SA"/>
        </w:rPr>
        <w:t xml:space="preserve"> Lider Konsorcjum i Partnerzy Konsorcjum zobowiązują się szerokiego rozpowszechniania wyników badań przemysłowych i prac rozwojowych albo prac rozwojowych polegającym na udziale w konferencjach, sympozjach naukowych i technicznych organizowanych przez podmioty nie będące partnerem Konsorcjum oraz zgłaszaniu wyników badań przemysłowych i prac rozwojowych albo prac rozwojowych w publikacjach w czasopismach naukowych, technicznych.</w:t>
      </w:r>
    </w:p>
    <w:p>
      <w:pPr>
        <w:pStyle w:val="Normal"/>
        <w:suppressAutoHyphens w:val="true"/>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25.</w:t>
      </w:r>
      <w:r>
        <w:rPr>
          <w:rFonts w:eastAsia="Calibri" w:cs="Times New Roman" w:ascii="Times New Roman" w:hAnsi="Times New Roman"/>
          <w:sz w:val="24"/>
          <w:szCs w:val="24"/>
          <w:lang w:eastAsia="ar-SA"/>
        </w:rPr>
        <w:t xml:space="preserve"> Lider Konsorcjum i Partnerzy Konsorcjum zobowiązują się niezlecania sobie nawzajem realizacji usług, dostaw lub robót budowlanych.</w:t>
      </w:r>
    </w:p>
    <w:p>
      <w:pPr>
        <w:pStyle w:val="Normal"/>
        <w:suppressAutoHyphens w:val="true"/>
        <w:spacing w:lineRule="auto" w:line="240" w:before="12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12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6</w:t>
      </w:r>
    </w:p>
    <w:p>
      <w:pPr>
        <w:pStyle w:val="Normal"/>
        <w:suppressAutoHyphens w:val="true"/>
        <w:spacing w:lineRule="auto" w:line="240" w:before="0" w:after="0"/>
        <w:ind w:left="426" w:hanging="114"/>
        <w:jc w:val="center"/>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Zasady komunikacji i podejmowania decyzji</w:t>
      </w:r>
    </w:p>
    <w:p>
      <w:pPr>
        <w:pStyle w:val="Normal"/>
        <w:suppressAutoHyphens w:val="true"/>
        <w:spacing w:lineRule="auto" w:line="240"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 xml:space="preserve">1. </w:t>
      </w:r>
      <w:r>
        <w:rPr>
          <w:rFonts w:eastAsia="Calibri" w:cs="Times New Roman" w:ascii="Times New Roman" w:hAnsi="Times New Roman"/>
          <w:sz w:val="24"/>
          <w:szCs w:val="24"/>
          <w:lang w:eastAsia="ar-SA"/>
        </w:rPr>
        <w:t>Lider Konsorcjum zobowiązuje się do koordynacji działań dotyczących monitorowania i kontroli Projektu podejmowanych zgodnie z Umową o dofinansowanie Projektu oraz wskazówkami NCBR. Monitorowanie i kontrolowanie będzie w szczególności dotyczyć postępów finansowych, postępów rzeczowych realizacji Projektu.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Lider Konsorcjum i Partnerzy Konsorcjum będą na bieżąco nawzajem informować się o przebiegu realizacji Projektu. Informacje będą przekazywane na piśmie lub drogą elektroniczną.</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W celu zgodnego współdziałania Stron Umowy, Strony będą na bieżąco informować się o sprawach związanych i mających wpływ na Projekt oraz konsultować podejmowane przez siebie działania w ramach Projektu.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4.</w:t>
      </w:r>
      <w:r>
        <w:rPr>
          <w:rFonts w:eastAsia="Calibri" w:cs="Times New Roman" w:ascii="Times New Roman" w:hAnsi="Times New Roman"/>
          <w:sz w:val="24"/>
          <w:szCs w:val="24"/>
          <w:lang w:eastAsia="ar-SA"/>
        </w:rPr>
        <w:t xml:space="preserve"> Lider Konsorcjum i Partnerzy Konsorcjum postanawiają zgodnie współpracować w zakresie koniecznych audytów zewnętrznych oraz kontroli prawidłowej realizacji Projektu w ramach PO IR przeprowadzonych przez podmioty kontrolujące.</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Do zadań Lidera Konsorcjum należy kontrola realizacji Projektu w zakresie zgodności z Wnioskiem o dofinansowanie oraz przepisami prawa krajowego i wspólnotowego, a także kontrola finansowa dotycząca zwłaszcza prawidłowości wykorzystania środków finansowych przekazanych Partnerom Konsorcjum oraz przestrzegania obowiązku ich zwrotu w razie wykrycia nieprawidłowości w wykorzystaniu.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Partnerzy Konsorcjum zobowiązują się do niezwłocznego udzielania wszystkich informacji służących prawidłowemu monitorowaniu i kontroli Projektu, zgodnie z Umową o dofinansowanie oraz wskazówkami NCBR, w tym w szczególności:</w:t>
      </w:r>
    </w:p>
    <w:p>
      <w:pPr>
        <w:pStyle w:val="Normal"/>
        <w:numPr>
          <w:ilvl w:val="0"/>
          <w:numId w:val="2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niezwłocznego informowania Lidera Konsorcjum o problemach w realizacji Projektu;</w:t>
      </w:r>
    </w:p>
    <w:p>
      <w:pPr>
        <w:pStyle w:val="Normal"/>
        <w:numPr>
          <w:ilvl w:val="0"/>
          <w:numId w:val="2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zapewnienia Liderowi Konsorcjum i podmiotom kontrolującym wglądu we wszystkie dokumenty związane z realizacją Projektu, w tym w księgi rachunkowe i dokumenty elektroniczne oraz dokumenty wykonawców przez cały okres ich przechowywania wskazany w Umowie o dofinansowanie Projektu;</w:t>
      </w:r>
    </w:p>
    <w:p>
      <w:pPr>
        <w:pStyle w:val="Normal"/>
        <w:numPr>
          <w:ilvl w:val="0"/>
          <w:numId w:val="2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umożliwienia podmiotom kontrolującym przeprowadzenia czynności kontrolnych i audytowych w siedzibie Lidera Konsorcjum, w siedzibie Partnerów Konsorcjum, jak i w miejscu realizacji Projektu;</w:t>
      </w:r>
    </w:p>
    <w:p>
      <w:pPr>
        <w:pStyle w:val="Normal"/>
        <w:numPr>
          <w:ilvl w:val="0"/>
          <w:numId w:val="2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udzielania Liderowi Konsorcjum i podmiotom kontrolującym wszystkich niezbędnych informacji odnoszących się do postępów w realizacji Projektu i efektywności jego wdrażania;</w:t>
      </w:r>
    </w:p>
    <w:p>
      <w:pPr>
        <w:pStyle w:val="Normal"/>
        <w:numPr>
          <w:ilvl w:val="0"/>
          <w:numId w:val="24"/>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udostępniania na pisemne żądanie Lidera Konsorcjum i podmiotów kontrolujących każdorazowo pełnej dokumentacji księgowej dotyczącej realizacji Projektu. Badanie przedstawionej przez Partnera dokumentacji może nastąpić w jego siedzibie.</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 xml:space="preserve">7. </w:t>
      </w:r>
      <w:r>
        <w:rPr>
          <w:rFonts w:eastAsia="Calibri" w:cs="Times New Roman" w:ascii="Times New Roman" w:hAnsi="Times New Roman"/>
          <w:sz w:val="24"/>
          <w:szCs w:val="24"/>
          <w:lang w:eastAsia="ar-SA"/>
        </w:rPr>
        <w:t>W przypadku gdy informacje lub dokumenty, o których mowa w ust. 6 nie zostaną przekazane lub udostępnione w ustalonym terminie, Lider Konsorcjum może wstrzymać przekazanie dalszych środków finansowych przeznaczonych na realizację Projektu.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8.</w:t>
      </w:r>
      <w:r>
        <w:rPr>
          <w:rFonts w:eastAsia="Calibri" w:cs="Times New Roman" w:ascii="Times New Roman" w:hAnsi="Times New Roman"/>
          <w:sz w:val="24"/>
          <w:szCs w:val="24"/>
          <w:lang w:eastAsia="ar-SA"/>
        </w:rPr>
        <w:t xml:space="preserve"> W imieniu Partnera za sprawną komunikację z Biurem Projektu oraz przepływ informacji na poziomie Partnera odpowiada Koordynator Partnera.</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9.</w:t>
      </w:r>
      <w:r>
        <w:rPr>
          <w:rFonts w:eastAsia="Calibri" w:cs="Times New Roman" w:ascii="Times New Roman" w:hAnsi="Times New Roman"/>
          <w:sz w:val="24"/>
          <w:szCs w:val="24"/>
          <w:lang w:eastAsia="ar-SA"/>
        </w:rPr>
        <w:t xml:space="preserve"> Korespondencja przesyłana przez Kierownika Projektu do Partnerów Konsorcjum powinna być kierowana na adres do korespondencji Partnerów lub na uzgodniony adres poczty elektronicznej.</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10.</w:t>
      </w:r>
      <w:r>
        <w:rPr>
          <w:rFonts w:eastAsia="Calibri" w:cs="Times New Roman" w:ascii="Times New Roman" w:hAnsi="Times New Roman"/>
          <w:sz w:val="24"/>
          <w:szCs w:val="24"/>
          <w:lang w:eastAsia="ar-SA"/>
        </w:rPr>
        <w:t xml:space="preserve"> Korespondencja kierowana przez Partnerów do Kierownika Projektu powinna być kierowana na adres Biura Projektu lub na uzgodniony adres poczty elektronicznej.</w:t>
      </w:r>
    </w:p>
    <w:p>
      <w:pPr>
        <w:pStyle w:val="Normal"/>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11. </w:t>
      </w:r>
      <w:r>
        <w:rPr>
          <w:rFonts w:eastAsia="Calibri" w:cs="Times New Roman" w:ascii="Times New Roman" w:hAnsi="Times New Roman"/>
          <w:sz w:val="24"/>
          <w:szCs w:val="24"/>
          <w:lang w:eastAsia="ar-SA"/>
        </w:rPr>
        <w:t>Partner zobowiązany jest do niezwłocznego powiadomienia Kierownika Projektu o każdej zmianie adresu i danych kontaktowych.</w:t>
      </w:r>
    </w:p>
    <w:p>
      <w:pPr>
        <w:pStyle w:val="Normal"/>
        <w:suppressAutoHyphens w:val="true"/>
        <w:spacing w:lineRule="auto" w:line="240" w:before="12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7</w:t>
      </w:r>
    </w:p>
    <w:p>
      <w:pPr>
        <w:pStyle w:val="Normal"/>
        <w:suppressAutoHyphens w:val="true"/>
        <w:spacing w:lineRule="auto" w:line="240" w:before="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Sposób monitorowania, sprawozdawczości i kontroli</w:t>
      </w:r>
    </w:p>
    <w:p>
      <w:pPr>
        <w:pStyle w:val="Normal"/>
        <w:suppressAutoHyphens w:val="true"/>
        <w:spacing w:lineRule="auto" w:line="240" w:before="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Lider Konsorcjum zobowiązuje się do koordynacji działań dotyczących monitorowania i kontroli Projektu podejmowanych zgodnie z Umową o dofinansowanie Projektu.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Monitorowanie i kontrolowanie będzie w szczególności dotyczyć postępów finansowych, postępów rzeczowych realizacji Projektu.</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Lider Konsorcjum i Partnerzy Konsorcjum postanawiają zgodnie współpracować w zakresie koniecznych audytów zewnętrznych oraz kontroli prawidłowej realizacji Projektu przeprowadzonych przez podmioty kontrolujące.</w:t>
      </w:r>
    </w:p>
    <w:p>
      <w:pPr>
        <w:pStyle w:val="Normal"/>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12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8</w:t>
      </w:r>
    </w:p>
    <w:p>
      <w:pPr>
        <w:pStyle w:val="Normal"/>
        <w:suppressAutoHyphens w:val="true"/>
        <w:spacing w:lineRule="auto" w:line="240" w:before="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Odpowiedzialność</w:t>
      </w:r>
    </w:p>
    <w:p>
      <w:pPr>
        <w:pStyle w:val="Normal"/>
        <w:suppressAutoHyphens w:val="true"/>
        <w:spacing w:lineRule="auto" w:line="240" w:before="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Partnerzy Konsorcjum i Lider Konsorcjum zobowiązują się dołożyć wszelkich starań, aby prawidłowo wykonać swoje zobowiązania.</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Partnerzy Konsorcjum i Lider Konsorcjum ponoszą całkowitą odpowiedzialność za realizację swoich obowiązków wynikających z niniejszej Umowy. </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Partnerzy Konsorcjum i Lider Konsorcjum wobec osób trzecich ponoszą odpowiedzialność we własnym zakresie.</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4.</w:t>
      </w:r>
      <w:r>
        <w:rPr>
          <w:rFonts w:eastAsia="Calibri" w:cs="Times New Roman" w:ascii="Times New Roman" w:hAnsi="Times New Roman"/>
          <w:sz w:val="24"/>
          <w:szCs w:val="24"/>
          <w:lang w:eastAsia="ar-SA"/>
        </w:rPr>
        <w:t xml:space="preserve"> W przypadku niemożliwości wykonania zobowiązań wynikających z niniejszej umowy wskutek działania siły wyższej, której mimo zachowania należytej staranności nie można było przewidzieć ani zapobiec, dany Partner nie będzie odpowiadać wobec innych Partnerów Konsorcjum z tytułu niewykonania zobowiązań wynikających z niniejszej Umowy.</w:t>
      </w:r>
      <w:r>
        <w:rPr/>
        <w:t xml:space="preserve"> </w:t>
      </w:r>
      <w:r>
        <w:rPr>
          <w:rFonts w:eastAsia="Calibri" w:cs="Times New Roman" w:ascii="Times New Roman" w:hAnsi="Times New Roman"/>
          <w:sz w:val="24"/>
          <w:szCs w:val="24"/>
          <w:lang w:eastAsia="ar-SA"/>
        </w:rPr>
        <w:t>W przypadku wystąpienia siły wyższej mogącej mieć bezpośredni wpływ na realizację projektu lub osiągnięcie celów projektu Partnerzy zobowiązują się do niezwłoczne, wzajemnego informowania się o fakcie wystąpienia ww. zdarzenia.</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Partnerzy zobowiązują się nie podejmować w czasie trwania niniejszej Umowy żadnych działań mogących zakłócić zasady wzajemnego współdziałania oraz, które mogą narazić na szkodę każdego z nich pod rygorem odpowiedzialności na warunkach ogólnych.</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Lider Konsorcjum lub Partner odpowiedzialny za naruszenie warunków niniejszej umowy lub Umowy o dofinansowanie poniesie wszystkie niezbędne koszty wynikające z naruszenia oraz niezbędne koszty ewentualnych zmian zakresu prac Lidera Konsorcjum lub innego Partnera, które stały się konieczne w związku z naprawieniem naruszenia.</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7.</w:t>
      </w:r>
      <w:r>
        <w:rPr>
          <w:rFonts w:eastAsia="Calibri" w:cs="Times New Roman" w:ascii="Times New Roman" w:hAnsi="Times New Roman"/>
          <w:sz w:val="24"/>
          <w:szCs w:val="24"/>
          <w:lang w:eastAsia="ar-SA"/>
        </w:rPr>
        <w:t xml:space="preserve"> Jeżeli środki finansowe pochodzące z Umowy o dofinansowanie zostaną wykorzystane przez Partnera w sposób niezgodny z ich przeznaczeniem, zostaną pobrane nienależnie lub w nadmiernej wysokości, Partner zwróci wówczas całość nieprawidłowo wykorzystanych lub pobranych środków finansowych wraz z odsetkami w wysokości określonej jak dla zaległości podatkowych liczonymi odpowiednio od dnia przekazania środków lub od dnia stwierdzenia nieprawidłowego naliczenia wysokości należnych środków finansowych. </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8.</w:t>
      </w:r>
      <w:r>
        <w:rPr>
          <w:rFonts w:eastAsia="Calibri" w:cs="Times New Roman" w:ascii="Times New Roman" w:hAnsi="Times New Roman"/>
          <w:sz w:val="24"/>
          <w:szCs w:val="24"/>
          <w:lang w:eastAsia="ar-SA"/>
        </w:rPr>
        <w:t xml:space="preserve"> Zwrot środków finansowych przez Partnera nastąpi na pisemne wezwanie Lidera Konsorcjum w terminie i na rachunek wskazany w wezwaniu. Termin zwrotu środków finansowych zostanie ustalony w sposób umożliwiający dokonanie zwrotu środków przez Lidera Konsorcjum na żądanie i w terminie wskazanym przez NCBR.</w:t>
      </w:r>
    </w:p>
    <w:p>
      <w:pPr>
        <w:pStyle w:val="Normal"/>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9.</w:t>
      </w:r>
      <w:r>
        <w:rPr>
          <w:rFonts w:eastAsia="Calibri" w:cs="Times New Roman" w:ascii="Times New Roman" w:hAnsi="Times New Roman"/>
          <w:sz w:val="24"/>
          <w:szCs w:val="24"/>
          <w:lang w:eastAsia="ar-SA"/>
        </w:rPr>
        <w:t xml:space="preserve"> Jeżeli Partner nie zwróci środków finansowych Lider Konsorcjum może podjąć stosowne środki prawne.</w:t>
      </w:r>
    </w:p>
    <w:p>
      <w:pPr>
        <w:pStyle w:val="Normal"/>
        <w:suppressAutoHyphens w:val="true"/>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9</w:t>
      </w:r>
    </w:p>
    <w:p>
      <w:pPr>
        <w:pStyle w:val="Normal"/>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Klauzula poufności</w:t>
      </w:r>
    </w:p>
    <w:p>
      <w:pPr>
        <w:pStyle w:val="Normal"/>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Partnerzy obowiązują się do nieujawniania informacji dotyczących Partnerów Konsorcjum, Projektu osobom trzecim.</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Partnerzy zobowiązują się do zastosowania swoich procedur wewnętrznych dla zapewnienia poufności informacji wymienianych w trakcie realizacji Umowy.</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Partnerzy zobowiązują się do zachowania poufności przekazywanych w trakcie realizacji Umowy informacji poufnych przez okres 5 lat od zakończenia Umowy.</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4.</w:t>
      </w:r>
      <w:r>
        <w:rPr>
          <w:rFonts w:eastAsia="Calibri" w:cs="Times New Roman" w:ascii="Times New Roman" w:hAnsi="Times New Roman"/>
          <w:sz w:val="24"/>
          <w:szCs w:val="24"/>
          <w:lang w:eastAsia="ar-SA"/>
        </w:rPr>
        <w:t xml:space="preserve"> Zachowanie poufności obejmuje w szczególności zabezpieczenie przed dostępem osób trzecich do dokumentów poufnych, chyba że obowiązek udostępnienia dokumentów poufnych wynika z przepisów prawa. </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Partnerzy zobowiązują się poinformować wszystkie osoby, które z uwagi na udział w realizacji Umowy będą miały styczność z chronionymi informacjami o obowiązku zachowania zasad poufności. Partnerzy ponoszą odpowiedzialność za wszelkie naruszenia obowiązku przez wskazane osoby jak za działania własne.</w:t>
      </w:r>
    </w:p>
    <w:p>
      <w:pPr>
        <w:pStyle w:val="Normal"/>
        <w:spacing w:lineRule="auto" w:line="240" w:before="0" w:after="0"/>
        <w:ind w:left="426" w:hanging="0"/>
        <w:jc w:val="both"/>
        <w:rPr>
          <w:rFonts w:ascii="Times New Roman" w:hAnsi="Times New Roman" w:eastAsia="Calibri" w:cs="Times New Roman"/>
          <w:color w:val="FF0000"/>
          <w:sz w:val="24"/>
          <w:szCs w:val="24"/>
          <w:lang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W przypadku ujawnienia przez Partnera informacji objętych klauzulą poufności, o których mowa w niniejszym paragrafie Partner, który przestrzegał postanowień umowy wynikających z niniejszego paragrafu zastrzega sobie prawo do odszkodowania do wysokości rzeczywiście poniesionej szkody i utraconych korzyści.</w:t>
      </w:r>
    </w:p>
    <w:p>
      <w:pPr>
        <w:pStyle w:val="Normal"/>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keepNext/>
        <w:suppressAutoHyphens w:val="true"/>
        <w:spacing w:lineRule="auto" w:line="240" w:before="120" w:after="0"/>
        <w:ind w:left="426" w:hanging="0"/>
        <w:jc w:val="center"/>
        <w:rPr>
          <w:rFonts w:ascii="Times New Roman" w:hAnsi="Times New Roman" w:eastAsia="Calibri" w:cs="Times New Roman"/>
          <w:b/>
          <w:b/>
          <w:sz w:val="24"/>
          <w:szCs w:val="24"/>
          <w:lang w:eastAsia="ar-SA"/>
        </w:rPr>
      </w:pPr>
      <w:r>
        <w:rPr>
          <w:rFonts w:eastAsia="Calibri" w:cs="Times New Roman" w:ascii="Times New Roman" w:hAnsi="Times New Roman"/>
          <w:b/>
          <w:bCs/>
          <w:sz w:val="24"/>
          <w:szCs w:val="24"/>
          <w:lang w:eastAsia="ar-SA"/>
        </w:rPr>
        <w:t>§ 10</w:t>
      </w:r>
    </w:p>
    <w:p>
      <w:pPr>
        <w:pStyle w:val="Normal"/>
        <w:suppressAutoHyphens w:val="true"/>
        <w:spacing w:lineRule="auto" w:line="240" w:before="0" w:after="0"/>
        <w:ind w:left="426" w:hanging="0"/>
        <w:jc w:val="center"/>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Prawa własności do rozwiązań powstałych w ramach konsorcjum</w:t>
      </w:r>
    </w:p>
    <w:p>
      <w:pPr>
        <w:pStyle w:val="Normal"/>
        <w:suppressAutoHyphens w:val="true"/>
        <w:spacing w:lineRule="auto" w:line="240" w:before="0" w:after="0"/>
        <w:ind w:left="426" w:hanging="0"/>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Zakres praw majątkowych do wyników badań przemysłowych i prac rozwojowych albo  prac rozwojowych będących rezultatem projektu oraz praw dostępu do rezultatów przysługuje Liderowi konsorcjum lub konsorcjantom w proporcji odpowiadającej faktycznemu ich udziałowi w całkowitej kwocie kosztów kwalifikowalnych projektu, o której mowa w § 6 ust. 2 Umowy o dofinansowanie. Umowy zawarte z podwykonawcami nie mogą naruszać reguły określonej w zdaniu poprzednim. Podział praw majątkowych do wyników badań przemysłowych i  prac rozwojowych  albo prac rozwojowych będących rezultatem projektu nie może stanowić niedozwolonej pomocy publicznej.</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Partnerzy mają prawo do swobodnego korzystania z praw własności intelektualnej oraz praw dostępu do rezultatów wynikających ze wspólnej realizacji Projektu, wyłącznie w niezbędnym zakresie dla realizacji Projektu, z wyłączeniem działań komercjalizacji.</w:t>
      </w:r>
    </w:p>
    <w:p>
      <w:pPr>
        <w:pStyle w:val="Normal"/>
        <w:suppressAutoHyphens w:val="true"/>
        <w:spacing w:lineRule="auto" w:line="240" w:before="0" w:after="0"/>
        <w:ind w:left="426" w:hanging="0"/>
        <w:jc w:val="both"/>
        <w:rPr>
          <w:rFonts w:ascii="Calibri" w:hAnsi="Calibri" w:eastAsia="Calibri" w:cs="Calibri"/>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Wszelkie kwestie dotyczące własności intelektualnej, a w szczególności związane z: </w:t>
      </w:r>
    </w:p>
    <w:p>
      <w:pPr>
        <w:pStyle w:val="Normal"/>
        <w:numPr>
          <w:ilvl w:val="0"/>
          <w:numId w:val="25"/>
        </w:numPr>
        <w:suppressAutoHyphens w:val="true"/>
        <w:spacing w:lineRule="auto" w:line="240" w:before="0" w:after="0"/>
        <w:jc w:val="both"/>
        <w:rPr>
          <w:rFonts w:ascii="Times New Roman" w:hAnsi="Times New Roman" w:eastAsia="Calibri" w:cs="Times New Roman"/>
          <w:sz w:val="24"/>
          <w:szCs w:val="24"/>
          <w:lang w:val="x-none" w:eastAsia="ar-SA"/>
        </w:rPr>
      </w:pPr>
      <w:r>
        <w:rPr>
          <w:rFonts w:eastAsia="Calibri" w:cs="Times New Roman" w:ascii="Times New Roman" w:hAnsi="Times New Roman"/>
          <w:sz w:val="24"/>
          <w:szCs w:val="24"/>
          <w:lang w:val="x-none" w:eastAsia="ar-SA"/>
        </w:rPr>
        <w:t>ochroną wiedzy</w:t>
      </w:r>
      <w:r>
        <w:rPr>
          <w:rFonts w:eastAsia="Calibri" w:cs="Times New Roman" w:ascii="Times New Roman" w:hAnsi="Times New Roman"/>
          <w:sz w:val="24"/>
          <w:szCs w:val="24"/>
          <w:lang w:eastAsia="ar-SA"/>
        </w:rPr>
        <w:t>;</w:t>
      </w:r>
    </w:p>
    <w:p>
      <w:pPr>
        <w:pStyle w:val="Normal"/>
        <w:numPr>
          <w:ilvl w:val="0"/>
          <w:numId w:val="25"/>
        </w:numPr>
        <w:suppressAutoHyphens w:val="true"/>
        <w:spacing w:lineRule="auto" w:line="240" w:before="0" w:after="0"/>
        <w:jc w:val="both"/>
        <w:rPr>
          <w:rFonts w:ascii="Times New Roman" w:hAnsi="Times New Roman" w:eastAsia="Calibri" w:cs="Times New Roman"/>
          <w:sz w:val="24"/>
          <w:szCs w:val="24"/>
          <w:lang w:val="x-none" w:eastAsia="ar-SA"/>
        </w:rPr>
      </w:pPr>
      <w:r>
        <w:rPr>
          <w:rFonts w:eastAsia="Calibri" w:cs="Times New Roman" w:ascii="Times New Roman" w:hAnsi="Times New Roman"/>
          <w:sz w:val="24"/>
          <w:szCs w:val="24"/>
          <w:lang w:val="x-none" w:eastAsia="ar-SA"/>
        </w:rPr>
        <w:t>przyznawaniem i cesją praw dostępu do wiedzy</w:t>
      </w:r>
      <w:r>
        <w:rPr>
          <w:rFonts w:eastAsia="Calibri" w:cs="Times New Roman" w:ascii="Times New Roman" w:hAnsi="Times New Roman"/>
          <w:sz w:val="24"/>
          <w:szCs w:val="24"/>
          <w:lang w:eastAsia="ar-SA"/>
        </w:rPr>
        <w:t>;</w:t>
      </w:r>
    </w:p>
    <w:p>
      <w:pPr>
        <w:pStyle w:val="Normal"/>
        <w:numPr>
          <w:ilvl w:val="0"/>
          <w:numId w:val="25"/>
        </w:numPr>
        <w:suppressAutoHyphens w:val="true"/>
        <w:spacing w:lineRule="auto" w:line="240" w:before="0" w:after="0"/>
        <w:jc w:val="both"/>
        <w:rPr>
          <w:rFonts w:ascii="Times New Roman" w:hAnsi="Times New Roman" w:eastAsia="Calibri" w:cs="Times New Roman"/>
          <w:sz w:val="24"/>
          <w:szCs w:val="24"/>
          <w:lang w:val="x-none" w:eastAsia="ar-SA"/>
        </w:rPr>
      </w:pPr>
      <w:r>
        <w:rPr>
          <w:rFonts w:eastAsia="Calibri" w:cs="Times New Roman" w:ascii="Times New Roman" w:hAnsi="Times New Roman"/>
          <w:sz w:val="24"/>
          <w:szCs w:val="24"/>
          <w:lang w:val="x-none" w:eastAsia="ar-SA"/>
        </w:rPr>
        <w:t>publikacją wiedzy</w:t>
      </w:r>
    </w:p>
    <w:p>
      <w:pPr>
        <w:pStyle w:val="Normal"/>
        <w:suppressAutoHyphens w:val="true"/>
        <w:spacing w:lineRule="auto" w:line="240" w:before="0" w:after="0"/>
        <w:ind w:left="426" w:hanging="0"/>
        <w:jc w:val="both"/>
        <w:rPr>
          <w:rFonts w:ascii="Times New Roman" w:hAnsi="Times New Roman" w:eastAsia="Calibri" w:cs="Times New Roman"/>
          <w:bCs/>
          <w:color w:val="548DD4"/>
          <w:sz w:val="24"/>
          <w:szCs w:val="24"/>
          <w:lang w:eastAsia="ar-SA"/>
        </w:rPr>
      </w:pPr>
      <w:r>
        <w:rPr>
          <w:rFonts w:eastAsia="Calibri" w:cs="Times New Roman" w:ascii="Times New Roman" w:hAnsi="Times New Roman"/>
          <w:bCs/>
          <w:sz w:val="24"/>
          <w:szCs w:val="24"/>
          <w:lang w:eastAsia="ar-SA"/>
        </w:rPr>
        <w:t>będą przedmiotem odrębnych szczegółowych umów pomiędzy członkami Konsorcjum i stronami trzecimi</w:t>
      </w:r>
      <w:r>
        <w:rPr>
          <w:rFonts w:eastAsia="Calibri" w:cs="Times New Roman" w:ascii="Times New Roman" w:hAnsi="Times New Roman"/>
          <w:sz w:val="24"/>
          <w:szCs w:val="24"/>
          <w:lang w:eastAsia="ar-SA"/>
        </w:rPr>
        <w:t xml:space="preserve">, </w:t>
      </w:r>
      <w:r>
        <w:rPr>
          <w:rFonts w:eastAsia="Calibri" w:cs="Times New Roman" w:ascii="Times New Roman" w:hAnsi="Times New Roman"/>
          <w:bCs/>
          <w:sz w:val="24"/>
          <w:szCs w:val="24"/>
          <w:lang w:eastAsia="ar-SA"/>
        </w:rPr>
        <w:t>z uwzględnieniem proporcji, o których mowa w ust. 1.</w:t>
      </w:r>
      <w:r>
        <w:rPr>
          <w:rFonts w:eastAsia="Calibri" w:cs="Times New Roman" w:ascii="Times New Roman" w:hAnsi="Times New Roman"/>
          <w:bCs/>
          <w:color w:val="548DD4"/>
          <w:sz w:val="24"/>
          <w:szCs w:val="24"/>
          <w:lang w:eastAsia="ar-SA"/>
        </w:rPr>
        <w:t xml:space="preserve"> </w:t>
      </w:r>
    </w:p>
    <w:p>
      <w:pPr>
        <w:pStyle w:val="Normal"/>
        <w:suppressAutoHyphens w:val="true"/>
        <w:spacing w:lineRule="auto" w:line="240" w:before="0" w:after="0"/>
        <w:ind w:left="426" w:hanging="0"/>
        <w:jc w:val="both"/>
        <w:rPr>
          <w:rFonts w:ascii="Times New Roman" w:hAnsi="Times New Roman" w:eastAsia="Calibri" w:cs="Times New Roman"/>
          <w:bCs/>
          <w:sz w:val="24"/>
          <w:szCs w:val="24"/>
          <w:lang w:eastAsia="ar-SA"/>
        </w:rPr>
      </w:pPr>
      <w:r>
        <w:rPr>
          <w:rFonts w:eastAsia="Calibri" w:cs="Times New Roman" w:ascii="Times New Roman" w:hAnsi="Times New Roman"/>
          <w:b/>
          <w:sz w:val="24"/>
          <w:szCs w:val="24"/>
          <w:lang w:eastAsia="ar-SA"/>
        </w:rPr>
        <w:t>4.</w:t>
      </w:r>
      <w:r>
        <w:rPr>
          <w:rFonts w:eastAsia="Calibri" w:cs="Times New Roman" w:ascii="Times New Roman" w:hAnsi="Times New Roman"/>
          <w:bCs/>
          <w:sz w:val="24"/>
          <w:szCs w:val="24"/>
          <w:lang w:eastAsia="ar-SA"/>
        </w:rPr>
        <w:t xml:space="preserve"> Rezultaty prac badawczych mogą być udostępnione podmiotom nie będącym członkami Konsorcjum tylko na zasadach rynkowych i po zastrzeżeniu praw autorskich w odpowiedniej formie i z uwzględnieniem proporcji udziału jak w ust.1.</w:t>
      </w:r>
    </w:p>
    <w:p>
      <w:pPr>
        <w:pStyle w:val="Normal"/>
        <w:suppressAutoHyphens w:val="true"/>
        <w:spacing w:lineRule="auto" w:line="240" w:before="0" w:after="0"/>
        <w:ind w:left="426" w:hanging="0"/>
        <w:jc w:val="both"/>
        <w:rPr>
          <w:rFonts w:ascii="Times New Roman" w:hAnsi="Times New Roman" w:eastAsia="Calibri" w:cs="Times New Roman"/>
          <w:bCs/>
          <w:sz w:val="24"/>
          <w:szCs w:val="24"/>
          <w:lang w:eastAsia="ar-SA"/>
        </w:rPr>
      </w:pPr>
      <w:r>
        <w:rPr>
          <w:rFonts w:eastAsia="Calibri" w:cs="Times New Roman" w:ascii="Times New Roman" w:hAnsi="Times New Roman"/>
          <w:b/>
          <w:sz w:val="24"/>
          <w:szCs w:val="24"/>
          <w:lang w:eastAsia="ar-SA"/>
        </w:rPr>
        <w:t>5.</w:t>
      </w:r>
      <w:r>
        <w:rPr>
          <w:rFonts w:eastAsia="Calibri" w:cs="Times New Roman" w:ascii="Times New Roman" w:hAnsi="Times New Roman"/>
          <w:bCs/>
          <w:sz w:val="24"/>
          <w:szCs w:val="24"/>
          <w:lang w:eastAsia="ar-SA"/>
        </w:rPr>
        <w:t xml:space="preserve"> Zasady wdrożenia wyników badań przemysłowych i  prac rozwojowych albo prac rozwojowych będą zgodne z Umową o dofinansowanie Projektu.</w:t>
      </w:r>
    </w:p>
    <w:p>
      <w:pPr>
        <w:pStyle w:val="Normal"/>
        <w:suppressAutoHyphens w:val="true"/>
        <w:spacing w:lineRule="auto" w:line="240" w:before="0" w:after="0"/>
        <w:ind w:left="426" w:hanging="0"/>
        <w:jc w:val="both"/>
        <w:rPr>
          <w:rFonts w:ascii="Times New Roman" w:hAnsi="Times New Roman" w:eastAsia="Calibri" w:cs="Times New Roman"/>
          <w:bCs/>
          <w:sz w:val="24"/>
          <w:szCs w:val="24"/>
          <w:lang w:eastAsia="ar-SA"/>
        </w:rPr>
      </w:pPr>
      <w:r>
        <w:rPr>
          <w:rFonts w:eastAsia="Calibri" w:cs="Times New Roman" w:ascii="Times New Roman" w:hAnsi="Times New Roman"/>
          <w:b/>
          <w:sz w:val="24"/>
          <w:szCs w:val="24"/>
          <w:lang w:eastAsia="ar-SA"/>
        </w:rPr>
        <w:t>6.</w:t>
      </w:r>
      <w:r>
        <w:rPr>
          <w:rFonts w:eastAsia="Calibri" w:cs="Times New Roman" w:ascii="Times New Roman" w:hAnsi="Times New Roman"/>
          <w:bCs/>
          <w:sz w:val="24"/>
          <w:szCs w:val="24"/>
          <w:lang w:eastAsia="ar-SA"/>
        </w:rPr>
        <w:t xml:space="preserve"> Jeśli wdrożenie wyników projektu przyjmuje formę sprzedaży praw do wyników lub udzielenia licencji na korzystanie z praw do wyników, Konsorcjanci zobowiązują się do przeniesienia tych praw za wynagrodzeniem odpowiadającym wartości rynkowej tych praw.</w:t>
      </w:r>
    </w:p>
    <w:p>
      <w:pPr>
        <w:pStyle w:val="Normal"/>
        <w:suppressAutoHyphens w:val="true"/>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sz w:val="24"/>
          <w:szCs w:val="24"/>
          <w:lang w:eastAsia="ar-SA"/>
        </w:rPr>
        <w:t>7.</w:t>
      </w:r>
      <w:r>
        <w:rPr>
          <w:rFonts w:eastAsia="Calibri" w:cs="Times New Roman" w:ascii="Times New Roman" w:hAnsi="Times New Roman"/>
          <w:bCs/>
          <w:sz w:val="24"/>
          <w:szCs w:val="24"/>
          <w:lang w:eastAsia="ar-SA"/>
        </w:rPr>
        <w:t xml:space="preserve"> </w:t>
        <w:tab/>
        <w:t>Zasady przenoszenia pomiędzy Liderem konsorcjum, a pozostałymi członkami konsorcjum, praw do wyników badań przemysłowych i prac rozwojowych albo prac rozwojowych będących rezultatem projektu (za wynagrodzeniem odpowiadającym wartości rynkowej tych praw) zostaną określone w odrębnej umowie.</w:t>
      </w:r>
    </w:p>
    <w:p>
      <w:pPr>
        <w:pStyle w:val="Normal"/>
        <w:suppressAutoHyphens w:val="true"/>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11</w:t>
      </w:r>
    </w:p>
    <w:p>
      <w:pPr>
        <w:pStyle w:val="Normal"/>
        <w:keepNext/>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Klauzula konkurencyjności</w:t>
      </w:r>
    </w:p>
    <w:p>
      <w:pPr>
        <w:pStyle w:val="Normal"/>
        <w:keepNext/>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Partnerzy zobowiązują się nie wykorzystywać informacji uzyskanych od Partnerów, w  działaniach konkurencyjnych wobec Partnerów.</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Przez działanie konkurencyjne rozumie się przedsięwzięcie podjęte po dniu zawarcia niniejszej Umowy.</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W przypadku naruszenia postanowień zawartych w niniejszym paragrafie, Partner, który przestrzegał postanowień umowy wynikających z niniejszego paragrafu, zastrzega sobie prawo do odszkodowania do wysokości rzeczywiście poniesionej szkody </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i utraconych korzyści.</w:t>
      </w:r>
    </w:p>
    <w:p>
      <w:pPr>
        <w:pStyle w:val="Normal"/>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12</w:t>
      </w:r>
    </w:p>
    <w:p>
      <w:pPr>
        <w:pStyle w:val="Normal"/>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Wykluczenie Partnera</w:t>
      </w:r>
    </w:p>
    <w:p>
      <w:pPr>
        <w:pStyle w:val="Normal"/>
        <w:suppressAutoHyphens w:val="true"/>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Warunkiem wykluczenia Partnera jest uprzednie pisemne upomnienie i bezskuteczne wezwanie do usunięcia we wskazanym terminie przyczyn będących podstawą wykluczenia.</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Podstawą  wykluczenia Partnera może być:</w:t>
      </w:r>
    </w:p>
    <w:p>
      <w:pPr>
        <w:pStyle w:val="Normal"/>
        <w:numPr>
          <w:ilvl w:val="0"/>
          <w:numId w:val="26"/>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niewypełnienia obowiązków wynikających z niniejszej umowy lub Wniosku o dofinansowanie przez Partnera, co stwarza uzasadnione prawdopodobieństwo niemożności złożenia w terminie wniosku płatniczego lub konieczności zwrotu pobranych środków finansowych w ramach Umowy o dofinansowanie;</w:t>
      </w:r>
    </w:p>
    <w:p>
      <w:pPr>
        <w:pStyle w:val="Normal"/>
        <w:numPr>
          <w:ilvl w:val="0"/>
          <w:numId w:val="26"/>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istotnego naruszania przez Partnera postanowień niniejszej umowy utrudniającego realizację Projektu, a w szczególności, gdy Partner:</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 rozpoczął realizacji Projektu w ciągu jednego miesiąca od daty podpisania Umowy o Dofinansowanie Projektu;</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zaprzestał realizacji zadań określonych dla niego w niniejszej Umowie;</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realizuje zakres działań niezgodny z niniejszą Umową;</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wykorzysta w całości lub w części przekazane środki finansowe na inne cele niż te, które zostały określone w niniejszej Umowie oraz Umowie o dofinansowanie;</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wykorzysta w całości lub w części przekazane środki finansowe niezgodnie z obowiązującymi przepisami;</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zostało w stosunku do niego wszczęte postępowanie upadłościowe lub likwidacyjne lub ustanowiono wobec niego zarząd komisaryczny;</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zawiesił swoją działalność albo istnieje wysokie prawdopodobieństwo zaistnienia działań o podobnym charakterze;</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 wykonał zaleceń pokontrolnych w terminie wskazanym w informacji pokontrolnej;</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nie przedstawił uzasadnienia niewykonania zaleceń pokontrolnych wraz z propozycją nowego terminu wprowadzenia zmian wynikających z zaleceń pokontrolnych;</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 terminach i na zasadach ustalonych przez Lidera Konsorcjum nie przekazał sprawozdania z realizacji swojego zakresu działań realizowanych w ramach Umowy o dofinansowanie;</w:t>
      </w:r>
    </w:p>
    <w:p>
      <w:pPr>
        <w:pStyle w:val="Normal"/>
        <w:numPr>
          <w:ilvl w:val="0"/>
          <w:numId w:val="27"/>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naruszenia klauzuli poufności lub klauzuli konkurencyjności, odmowie podpisania aneksu do niniejszej umowy.</w:t>
      </w:r>
    </w:p>
    <w:p>
      <w:pPr>
        <w:pStyle w:val="Normal"/>
        <w:suppressAutoHyphens w:val="true"/>
        <w:spacing w:lineRule="auto" w:line="240" w:before="0" w:after="0"/>
        <w:ind w:left="426" w:hanging="0"/>
        <w:jc w:val="both"/>
        <w:rPr>
          <w:rFonts w:ascii="Calibri" w:hAnsi="Calibri" w:eastAsia="Calibri" w:cs="Calibri"/>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Wykluczenie Partnera z przyczyn wskazanych w § 12 następuje w drodze pisemnej i nie stanowi zmian postanowień niniejszej umowy.</w:t>
      </w:r>
    </w:p>
    <w:p>
      <w:pPr>
        <w:pStyle w:val="Normal"/>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ind w:left="426" w:hanging="0"/>
        <w:jc w:val="center"/>
        <w:rPr>
          <w:rFonts w:ascii="Times New Roman" w:hAnsi="Times New Roman" w:eastAsia="Calibri" w:cs="Times New Roman"/>
          <w:b/>
          <w:b/>
          <w:bCs/>
          <w:sz w:val="24"/>
          <w:szCs w:val="24"/>
          <w:lang w:val="x-none" w:eastAsia="ar-SA"/>
        </w:rPr>
      </w:pPr>
      <w:r>
        <w:rPr>
          <w:rFonts w:eastAsia="Calibri" w:cs="Times New Roman" w:ascii="Times New Roman" w:hAnsi="Times New Roman"/>
          <w:b/>
          <w:bCs/>
          <w:sz w:val="24"/>
          <w:szCs w:val="24"/>
          <w:lang w:val="x-none" w:eastAsia="ar-SA"/>
        </w:rPr>
        <w:t>§</w:t>
      </w:r>
      <w:r>
        <w:rPr>
          <w:rFonts w:eastAsia="Calibri" w:cs="Times New Roman" w:ascii="Times New Roman" w:hAnsi="Times New Roman"/>
          <w:b/>
          <w:bCs/>
          <w:sz w:val="24"/>
          <w:szCs w:val="24"/>
          <w:lang w:eastAsia="ar-SA"/>
        </w:rPr>
        <w:t xml:space="preserve"> </w:t>
      </w:r>
      <w:r>
        <w:rPr>
          <w:rFonts w:eastAsia="Calibri" w:cs="Times New Roman" w:ascii="Times New Roman" w:hAnsi="Times New Roman"/>
          <w:b/>
          <w:bCs/>
          <w:sz w:val="24"/>
          <w:szCs w:val="24"/>
          <w:lang w:val="x-none" w:eastAsia="ar-SA"/>
        </w:rPr>
        <w:t>1</w:t>
      </w:r>
      <w:r>
        <w:rPr>
          <w:rFonts w:eastAsia="Calibri" w:cs="Times New Roman" w:ascii="Times New Roman" w:hAnsi="Times New Roman"/>
          <w:b/>
          <w:bCs/>
          <w:sz w:val="24"/>
          <w:szCs w:val="24"/>
          <w:lang w:eastAsia="ar-SA"/>
        </w:rPr>
        <w:t>3</w:t>
      </w:r>
    </w:p>
    <w:p>
      <w:pPr>
        <w:pStyle w:val="Normal"/>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val="x-none" w:eastAsia="ar-SA"/>
        </w:rPr>
        <w:t>Zmiana składu Konsorcjum</w:t>
      </w:r>
    </w:p>
    <w:p>
      <w:pPr>
        <w:pStyle w:val="Normal"/>
        <w:spacing w:lineRule="auto" w:line="240" w:before="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Każdy z Partnerów ma prawo do rozwiązania Umowy Konsorcjum na piśmie z zachowaniem trzy miesięcznego terminu wypowiedzenia. </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Partner wypowiadający Umowę Konsorcjum zobowiązany jest do wskazania sposobu kontynuowania realizacji harmonogramu prac przez Partnera zdolnego zrealizować podjęte zadania. </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Partner wypowiadający Umowę Konsorcjum zobowiązuje się do przygotowania i przekazania rozliczenia otrzymanych składników infrastruktury wraz ze sprawozdaniem końcowym z realizacji przyjętych zobowiązań w ramach Umowy.</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4.</w:t>
      </w:r>
      <w:r>
        <w:rPr>
          <w:rFonts w:eastAsia="Calibri" w:cs="Times New Roman" w:ascii="Times New Roman" w:hAnsi="Times New Roman"/>
          <w:sz w:val="24"/>
          <w:szCs w:val="24"/>
          <w:lang w:eastAsia="ar-SA"/>
        </w:rPr>
        <w:t xml:space="preserve"> Partner wypowiadający Umowę Konsorcjum zobowiązuje się zwrócić wszystkie otrzymane w ramach realizacji umowy składniki infrastruktury.</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Partner wypowiadający Umowę Konsorcjum zobowiązuje się zwrócić niewykorzystaną część otrzymanych środków finansowych na rachunek wskazany przez Lidera Konsorcjum.</w:t>
      </w:r>
    </w:p>
    <w:p>
      <w:pPr>
        <w:pStyle w:val="Normal"/>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Nowy Partner podpisując aneks do Umowy Konsorcjum akceptuje jej warunki oraz wszystkie postanowienia wcześniej podjęte przez Partnerów Umowy.</w:t>
      </w:r>
    </w:p>
    <w:p>
      <w:pPr>
        <w:pStyle w:val="Normal"/>
        <w:spacing w:lineRule="auto" w:line="240" w:before="0" w:after="0"/>
        <w:ind w:left="426" w:hanging="0"/>
        <w:jc w:val="both"/>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xml:space="preserve">7. </w:t>
      </w:r>
      <w:r>
        <w:rPr>
          <w:rFonts w:eastAsia="Calibri" w:cs="Times New Roman" w:ascii="Times New Roman" w:hAnsi="Times New Roman"/>
          <w:sz w:val="24"/>
          <w:szCs w:val="24"/>
          <w:lang w:eastAsia="ar-SA"/>
        </w:rPr>
        <w:t>Przeniesienie praw i/lub obowiązków wynikających z niniejszej Umowy wymaga zgody Partnerów i NCBR.</w:t>
      </w:r>
    </w:p>
    <w:p>
      <w:pPr>
        <w:pStyle w:val="Normal"/>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14</w:t>
      </w:r>
    </w:p>
    <w:p>
      <w:pPr>
        <w:pStyle w:val="Normal"/>
        <w:spacing w:lineRule="auto" w:line="240" w:before="0" w:after="0"/>
        <w:ind w:left="426" w:hanging="114"/>
        <w:jc w:val="center"/>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Czas trwania</w:t>
      </w:r>
    </w:p>
    <w:p>
      <w:pPr>
        <w:pStyle w:val="Normal"/>
        <w:keepNext/>
        <w:suppressAutoHyphens w:val="true"/>
        <w:spacing w:lineRule="auto" w:line="240" w:before="0" w:after="0"/>
        <w:ind w:left="426" w:hanging="114"/>
        <w:jc w:val="center"/>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keepNext/>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Umowa zostaje zawarta na czas realizacji Projektu do zakończenia okresu trwałości, którego ramy terminowe określi Umowa o dofinansowanie z zastrzeżeniem możliwości wykluczenia Partnera zgodnie z §12 niniejszej Umowy oraz rozwiązania umowy zgodnie z ust.2. Zadania Partnerów określone niniejszą Umową rozpoczną się nie wcześniej niż w dniu następującym po dniu złożenia w NCBR Wniosku o dofinansowanie.</w:t>
      </w:r>
    </w:p>
    <w:p>
      <w:pPr>
        <w:pStyle w:val="Normal"/>
        <w:keepNext/>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Niniejsza umowa ulega rozwiązaniu:</w:t>
      </w:r>
    </w:p>
    <w:p>
      <w:pPr>
        <w:pStyle w:val="Normal"/>
        <w:numPr>
          <w:ilvl w:val="0"/>
          <w:numId w:val="28"/>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 dniem otrzymania przez Lidera Konsorcjum pisemnej informacji o odmowie sfinansowania Projektu, chyba że zostanie wszczęta procedura odwoławcza. Wówczas niniejsza umowa rozwiąże się z dniem otrzymania przez Lidera Konsorcjum pisemnej informacji, co do negatywnego zakończenia procedury odwoławczej;</w:t>
      </w:r>
    </w:p>
    <w:p>
      <w:pPr>
        <w:pStyle w:val="Normal"/>
        <w:numPr>
          <w:ilvl w:val="0"/>
          <w:numId w:val="28"/>
        </w:numPr>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za zgodnym postanowieniem stron w przypadku wystąpienia okoliczności, które uniemożliwiają dalsze wykonywanie postanowień zawartych w niniejszej umowie lub w Umowie o dofinansowanie Projektu.</w:t>
      </w:r>
    </w:p>
    <w:p>
      <w:pPr>
        <w:pStyle w:val="Normal"/>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120" w:after="0"/>
        <w:ind w:left="426" w:hanging="0"/>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15</w:t>
      </w:r>
    </w:p>
    <w:p>
      <w:pPr>
        <w:pStyle w:val="Normal"/>
        <w:spacing w:lineRule="auto" w:line="240" w:before="0" w:after="0"/>
        <w:ind w:left="3258" w:firstLine="282"/>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t>Ochrona danych osobowych</w:t>
      </w:r>
    </w:p>
    <w:p>
      <w:pPr>
        <w:pStyle w:val="Normal"/>
        <w:spacing w:lineRule="auto" w:line="240" w:before="0" w:after="0"/>
        <w:ind w:left="3258" w:firstLine="282"/>
        <w:jc w:val="both"/>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W związku z realizacją przedmiotu umowy Lider upoważnia Partnera do przetwarzania danych osobowych, których administratorem jest Lider, w zakresie i celu niezbędnym do realizacji umowy.</w:t>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Partnerzy zobowiązują się do przetwarzania danych osobowych zgodnie z przepisami Rozporządzenia Parlamentu Europejskiego i Rady (EU) 2016/679 z dnia 27 kwietnia 2016 r. w sprawie ochrony danych osób fizycznych w związku z przetwarzaniem danych osobowych i w sprawie swobodnego przepływu takich danych oraz uchylenia dyrektywy 95/46/WE (ogólne rozporządzenie o ochronie danych) (Dz.U. UE. L. z 2016 r. Nr 119 )  i obowiązujących w tym zakresie przepisów prawa .</w:t>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Lider zobowiązany jest do przetwarzania danych osobowych, do których uzyska dostęp w związku z realizacją umowy, wyłącznie do celów związanych z wykonywaniem przedmiotu umowy.</w:t>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4.</w:t>
      </w:r>
      <w:r>
        <w:rPr>
          <w:rFonts w:eastAsia="Calibri" w:cs="Times New Roman" w:ascii="Times New Roman" w:hAnsi="Times New Roman"/>
          <w:sz w:val="24"/>
          <w:szCs w:val="24"/>
          <w:lang w:eastAsia="ar-SA"/>
        </w:rPr>
        <w:t xml:space="preserve"> Partner zobowiązany jest do zabezpieczenia i zachowania w tajemnicy - zarówno w trakcie trwania umowy, jak i po jej ustaniu - danych osobowych, do których uzyska dostęp w związku z realizacją umowy.</w:t>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Lider ma prawo do kontroli przetwarzania danych osobowych  w związku z wykonywaniem niniejszej umowy.</w:t>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Partner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pPr>
        <w:pStyle w:val="Normal"/>
        <w:spacing w:lineRule="auto" w:line="276"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40" w:before="12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 16</w:t>
      </w:r>
    </w:p>
    <w:p>
      <w:pPr>
        <w:pStyle w:val="Normal"/>
        <w:keepNext/>
        <w:suppressAutoHyphens w:val="true"/>
        <w:spacing w:lineRule="auto" w:line="240" w:before="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t>Postanowienia końcowe</w:t>
      </w:r>
    </w:p>
    <w:p>
      <w:pPr>
        <w:pStyle w:val="Normal"/>
        <w:keepNext/>
        <w:suppressAutoHyphens w:val="true"/>
        <w:spacing w:lineRule="auto" w:line="240" w:before="0" w:after="0"/>
        <w:ind w:left="426" w:hanging="114"/>
        <w:jc w:val="center"/>
        <w:rPr>
          <w:rFonts w:ascii="Times New Roman" w:hAnsi="Times New Roman" w:eastAsia="Calibri" w:cs="Times New Roman"/>
          <w:b/>
          <w:b/>
          <w:bCs/>
          <w:sz w:val="24"/>
          <w:szCs w:val="24"/>
          <w:lang w:eastAsia="ar-SA"/>
        </w:rPr>
      </w:pPr>
      <w:r>
        <w:rPr>
          <w:rFonts w:eastAsia="Calibri" w:cs="Times New Roman" w:ascii="Times New Roman" w:hAnsi="Times New Roman"/>
          <w:b/>
          <w:bCs/>
          <w:sz w:val="24"/>
          <w:szCs w:val="24"/>
          <w:lang w:eastAsia="ar-SA"/>
        </w:rPr>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1.</w:t>
      </w:r>
      <w:r>
        <w:rPr>
          <w:rFonts w:eastAsia="Calibri" w:cs="Times New Roman" w:ascii="Times New Roman" w:hAnsi="Times New Roman"/>
          <w:sz w:val="24"/>
          <w:szCs w:val="24"/>
          <w:lang w:eastAsia="ar-SA"/>
        </w:rPr>
        <w:t xml:space="preserve"> Żadne z postanowień niniejszej umowy nie może być interpretowane, jako przyznające Partnerom prawa do podejmowania zobowiązań jakiegokolwiek rodzaju za drugiego Partnera lub w jego imieniu, bez uprzedniej pisemnej zgody drugiej Strony, chyba że co innego wynika z postanowień niniejszej umowy lub udzielonych pełnomocnictw.</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2.</w:t>
      </w:r>
      <w:r>
        <w:rPr>
          <w:rFonts w:eastAsia="Calibri" w:cs="Times New Roman" w:ascii="Times New Roman" w:hAnsi="Times New Roman"/>
          <w:sz w:val="24"/>
          <w:szCs w:val="24"/>
          <w:lang w:eastAsia="ar-SA"/>
        </w:rPr>
        <w:t xml:space="preserve"> Wszelkie zmiany postanowień niniejszej umowy wymagają formy pisemnej pod rygorem nieważności.</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3.</w:t>
      </w:r>
      <w:r>
        <w:rPr>
          <w:rFonts w:eastAsia="Calibri" w:cs="Times New Roman" w:ascii="Times New Roman" w:hAnsi="Times New Roman"/>
          <w:sz w:val="24"/>
          <w:szCs w:val="24"/>
          <w:lang w:eastAsia="ar-SA"/>
        </w:rPr>
        <w:t xml:space="preserve"> Wszystkie załączniki i aneksy do niniejszej umowy stanowią jej integralną część.</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 xml:space="preserve">4. </w:t>
      </w:r>
      <w:r>
        <w:rPr>
          <w:rFonts w:eastAsia="Calibri" w:cs="Times New Roman" w:ascii="Times New Roman" w:hAnsi="Times New Roman"/>
          <w:sz w:val="24"/>
          <w:szCs w:val="24"/>
          <w:lang w:eastAsia="ar-SA"/>
        </w:rPr>
        <w:t>Lider Konsorcjum jest uprawniony do wprowadzania nowych i aktualizowania dotychczasowych załączników do niniejszej Umowy, co wynikać będzie z potrzeby stosowania przy realizacji Projektu obowiązujących przepisów, wytycznych oraz innych dokumentów i zaleceń NCBR oraz co nie będzie stanowić zmian postanowień niniejszej Umowy.</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5.</w:t>
      </w:r>
      <w:r>
        <w:rPr>
          <w:rFonts w:eastAsia="Calibri" w:cs="Times New Roman" w:ascii="Times New Roman" w:hAnsi="Times New Roman"/>
          <w:sz w:val="24"/>
          <w:szCs w:val="24"/>
          <w:lang w:eastAsia="ar-SA"/>
        </w:rPr>
        <w:t xml:space="preserve"> Przenoszenie w okresie kwalifikowalności wydatków oraz w okresie trwałości Projektu, na inny podmiot praw, obowiązków lub wierzytelności wynikających z niniejszej Umowy wymaga zgody Instytucji Pośredniczącej.</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6.</w:t>
      </w:r>
      <w:r>
        <w:rPr>
          <w:rFonts w:eastAsia="Calibri" w:cs="Times New Roman" w:ascii="Times New Roman" w:hAnsi="Times New Roman"/>
          <w:sz w:val="24"/>
          <w:szCs w:val="24"/>
          <w:lang w:eastAsia="ar-SA"/>
        </w:rPr>
        <w:t xml:space="preserve"> Wszelkie spory powstałe w związku z niniejszą Umową strony będą się starały rozstrzygać polubownie.</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7.</w:t>
      </w:r>
      <w:r>
        <w:rPr>
          <w:rFonts w:eastAsia="Calibri" w:cs="Times New Roman" w:ascii="Times New Roman" w:hAnsi="Times New Roman"/>
          <w:sz w:val="24"/>
          <w:szCs w:val="24"/>
          <w:lang w:eastAsia="ar-SA"/>
        </w:rPr>
        <w:t xml:space="preserve"> W przypadku, gdy strony nie osiągną porozumienia, powstały spór rozstrzygał będzie Sąd właściwy miejscowo ze względu na siedzibę Lidera Konsorcjum.</w:t>
      </w:r>
    </w:p>
    <w:p>
      <w:pPr>
        <w:pStyle w:val="Normal"/>
        <w:suppressAutoHyphens w:val="true"/>
        <w:spacing w:lineRule="auto" w:line="240" w:before="0" w:after="0"/>
        <w:ind w:left="426" w:hanging="0"/>
        <w:jc w:val="both"/>
        <w:rPr>
          <w:rFonts w:ascii="Times New Roman" w:hAnsi="Times New Roman" w:eastAsia="Calibri" w:cs="Times New Roman"/>
          <w:sz w:val="24"/>
          <w:szCs w:val="24"/>
          <w:lang w:eastAsia="ar-SA"/>
        </w:rPr>
      </w:pPr>
      <w:r>
        <w:rPr>
          <w:rFonts w:eastAsia="Calibri" w:cs="Times New Roman" w:ascii="Times New Roman" w:hAnsi="Times New Roman"/>
          <w:b/>
          <w:bCs/>
          <w:sz w:val="24"/>
          <w:szCs w:val="24"/>
          <w:lang w:eastAsia="ar-SA"/>
        </w:rPr>
        <w:t>8.</w:t>
      </w:r>
      <w:r>
        <w:rPr>
          <w:rFonts w:eastAsia="Calibri" w:cs="Times New Roman" w:ascii="Times New Roman" w:hAnsi="Times New Roman"/>
          <w:sz w:val="24"/>
          <w:szCs w:val="24"/>
          <w:lang w:eastAsia="ar-SA"/>
        </w:rPr>
        <w:t xml:space="preserve"> Niniejsza umowa sporządzona została w </w:t>
      </w:r>
      <w:r>
        <w:rPr>
          <w:rFonts w:eastAsia="Calibri" w:cs="Times New Roman" w:ascii="Times New Roman" w:hAnsi="Times New Roman"/>
          <w:b/>
          <w:sz w:val="24"/>
          <w:szCs w:val="24"/>
          <w:lang w:eastAsia="ar-SA"/>
        </w:rPr>
        <w:t>…………..</w:t>
      </w:r>
      <w:r>
        <w:rPr>
          <w:rFonts w:eastAsia="Calibri" w:cs="Times New Roman" w:ascii="Times New Roman" w:hAnsi="Times New Roman"/>
          <w:sz w:val="24"/>
          <w:szCs w:val="24"/>
          <w:lang w:eastAsia="ar-SA"/>
        </w:rPr>
        <w:t xml:space="preserve">  jednobrzmiących egzemplarzach, po jednym egzemplarzu dla każdego Partnera oraz jeden egzemplarz dla NCBR.</w:t>
      </w:r>
    </w:p>
    <w:p>
      <w:pPr>
        <w:pStyle w:val="Normal"/>
        <w:suppressAutoHyphens w:val="true"/>
        <w:spacing w:lineRule="auto" w:line="240"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40" w:before="0" w:after="0"/>
        <w:ind w:left="426" w:hanging="114"/>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uppressAutoHyphens w:val="true"/>
        <w:spacing w:lineRule="auto" w:line="240" w:before="0" w:after="0"/>
        <w:ind w:left="426" w:hanging="114"/>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  ………………………</w:t>
      </w:r>
      <w:r>
        <w:rPr>
          <w:rFonts w:eastAsia="Calibri" w:cs="Times New Roman" w:ascii="Times New Roman" w:hAnsi="Times New Roman"/>
          <w:sz w:val="24"/>
          <w:szCs w:val="24"/>
          <w:lang w:eastAsia="ar-SA"/>
        </w:rPr>
        <w:tab/>
        <w:tab/>
        <w:t>..……………………..</w:t>
        <w:tab/>
        <w:t xml:space="preserve"> ..….………………………</w:t>
      </w:r>
    </w:p>
    <w:p>
      <w:pPr>
        <w:pStyle w:val="Normal"/>
        <w:suppressAutoHyphens w:val="true"/>
        <w:spacing w:lineRule="auto" w:line="240" w:before="0" w:after="0"/>
        <w:ind w:left="426" w:hanging="114"/>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 xml:space="preserve">           </w:t>
      </w:r>
      <w:r>
        <w:rPr>
          <w:rFonts w:eastAsia="Calibri" w:cs="Times New Roman" w:ascii="Times New Roman" w:hAnsi="Times New Roman"/>
          <w:sz w:val="20"/>
          <w:szCs w:val="20"/>
          <w:lang w:eastAsia="ar-SA"/>
        </w:rPr>
        <w:t>(podpis Lidera)</w:t>
        <w:tab/>
        <w:tab/>
        <w:tab/>
        <w:t>(podpis Konsorcjanta 1)</w:t>
        <w:tab/>
        <w:t xml:space="preserve">   </w:t>
        <w:tab/>
        <w:t xml:space="preserve">       (podpis Konsorcjanta 2)</w:t>
      </w:r>
    </w:p>
    <w:p>
      <w:pPr>
        <w:pStyle w:val="Normal"/>
        <w:suppressAutoHyphens w:val="true"/>
        <w:spacing w:lineRule="auto" w:line="240" w:before="0" w:after="0"/>
        <w:ind w:left="426" w:hanging="114"/>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r>
    </w:p>
    <w:p>
      <w:pPr>
        <w:pStyle w:val="Normal"/>
        <w:suppressAutoHyphens w:val="true"/>
        <w:spacing w:lineRule="auto" w:line="240" w:before="0" w:after="0"/>
        <w:ind w:left="426" w:hanging="114"/>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ab/>
        <w:tab/>
        <w:tab/>
      </w:r>
    </w:p>
    <w:p>
      <w:pPr>
        <w:pStyle w:val="Normal"/>
        <w:suppressAutoHyphens w:val="true"/>
        <w:spacing w:lineRule="auto" w:line="240" w:before="0" w:after="0"/>
        <w:ind w:left="426" w:hanging="114"/>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r>
    </w:p>
    <w:p>
      <w:pPr>
        <w:pStyle w:val="Normal"/>
        <w:suppressAutoHyphens w:val="true"/>
        <w:spacing w:lineRule="auto" w:line="240" w:before="0" w:after="0"/>
        <w:ind w:left="426" w:hanging="114"/>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r>
    </w:p>
    <w:p>
      <w:pPr>
        <w:pStyle w:val="Normal"/>
        <w:suppressAutoHyphens w:val="true"/>
        <w:spacing w:lineRule="auto" w:line="240" w:before="0" w:after="0"/>
        <w:ind w:left="426" w:hanging="114"/>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r>
    </w:p>
    <w:p>
      <w:pPr>
        <w:pStyle w:val="Normal"/>
        <w:suppressAutoHyphens w:val="true"/>
        <w:spacing w:lineRule="auto" w:line="240" w:before="0" w:after="0"/>
        <w:ind w:left="426" w:hanging="114"/>
        <w:jc w:val="center"/>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w:t>
      </w:r>
      <w:r>
        <w:rPr>
          <w:rFonts w:eastAsia="Calibri" w:cs="Times New Roman" w:ascii="Times New Roman" w:hAnsi="Times New Roman"/>
          <w:sz w:val="24"/>
          <w:szCs w:val="24"/>
          <w:lang w:eastAsia="ar-SA"/>
        </w:rPr>
        <w:t>.……………………</w:t>
      </w:r>
    </w:p>
    <w:p>
      <w:pPr>
        <w:pStyle w:val="Normal"/>
        <w:suppressAutoHyphens w:val="true"/>
        <w:spacing w:lineRule="auto" w:line="240" w:before="0" w:after="120"/>
        <w:ind w:left="426" w:hanging="114"/>
        <w:jc w:val="center"/>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Przyjmuję do realizacji</w:t>
      </w:r>
    </w:p>
    <w:p>
      <w:pPr>
        <w:pStyle w:val="Normal"/>
        <w:suppressAutoHyphens w:val="true"/>
        <w:spacing w:lineRule="auto" w:line="240" w:before="0" w:after="0"/>
        <w:ind w:left="426" w:hanging="114"/>
        <w:jc w:val="center"/>
        <w:rPr>
          <w:rFonts w:ascii="Times New Roman" w:hAnsi="Times New Roman" w:eastAsia="Calibri" w:cs="Calibri"/>
          <w:sz w:val="20"/>
          <w:szCs w:val="20"/>
          <w:lang w:eastAsia="ar-SA"/>
        </w:rPr>
      </w:pPr>
      <w:r>
        <w:rPr>
          <w:rFonts w:eastAsia="Calibri" w:cs="Times New Roman" w:ascii="Times New Roman" w:hAnsi="Times New Roman"/>
          <w:sz w:val="20"/>
          <w:szCs w:val="20"/>
          <w:lang w:eastAsia="ar-SA"/>
        </w:rPr>
        <w:t xml:space="preserve">(podpis </w:t>
      </w:r>
      <w:r>
        <w:rPr>
          <w:rFonts w:eastAsia="Times New Roman" w:cs="Times New Roman" w:ascii="Times New Roman" w:hAnsi="Times New Roman"/>
          <w:sz w:val="20"/>
          <w:szCs w:val="20"/>
          <w:lang w:eastAsia="ar-SA"/>
        </w:rPr>
        <w:t>kierownika zespołu odpowiadającego za realizację Projektu)</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rPr>
        <w:sz w:val="24"/>
        <w:b/>
        <w:szCs w:val="24"/>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sz w:val="24"/>
        <w:b/>
        <w:szCs w:val="24"/>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szCs w:val="24"/>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4"/>
        <w:b/>
        <w:szCs w:val="24"/>
        <w:rFonts w:cs="Calibri"/>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sz w:val="24"/>
        <w:b/>
        <w:szCs w:val="24"/>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lvl w:ilvl="0">
      <w:start w:val="1"/>
      <w:numFmt w:val="decimal"/>
      <w:lvlText w:val="%1."/>
      <w:lvlJc w:val="left"/>
      <w:pPr>
        <w:ind w:left="0" w:hanging="0"/>
      </w:pPr>
      <w:rPr>
        <w:sz w:val="24"/>
        <w:b/>
        <w:szCs w:val="24"/>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lvl w:ilvl="0">
      <w:start w:val="1"/>
      <w:numFmt w:val="bullet"/>
      <w:lvlText w:val=""/>
      <w:lvlJc w:val="left"/>
      <w:pPr>
        <w:ind w:left="1146" w:hanging="360"/>
      </w:pPr>
      <w:rPr>
        <w:rFonts w:ascii="Wingdings" w:hAnsi="Wingdings" w:cs="Wingdings" w:hint="default"/>
        <w:sz w:val="24"/>
        <w:rFonts w:cs="Wingdings"/>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2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cs="Times New Roman"/>
      <w:b/>
      <w:bCs w:val="false"/>
      <w:sz w:val="24"/>
      <w:szCs w:val="24"/>
    </w:rPr>
  </w:style>
  <w:style w:type="character" w:styleId="ListLabel2" w:customStyle="1">
    <w:name w:val="ListLabel 2"/>
    <w:qFormat/>
    <w:rPr>
      <w:rFonts w:ascii="Times New Roman" w:hAnsi="Times New Roman" w:cs="Times New Roman"/>
      <w:sz w:val="24"/>
      <w:szCs w:val="24"/>
    </w:rPr>
  </w:style>
  <w:style w:type="character" w:styleId="ListLabel3" w:customStyle="1">
    <w:name w:val="ListLabel 3"/>
    <w:qFormat/>
    <w:rPr>
      <w:rFonts w:ascii="Times New Roman" w:hAnsi="Times New Roman" w:cs="Calibri"/>
      <w:sz w:val="24"/>
      <w:szCs w:val="24"/>
    </w:rPr>
  </w:style>
  <w:style w:type="character" w:styleId="ListLabel4" w:customStyle="1">
    <w:name w:val="ListLabel 4"/>
    <w:qFormat/>
    <w:rPr>
      <w:rFonts w:ascii="Times New Roman" w:hAnsi="Times New Roman" w:cs="Calibri"/>
      <w:b/>
      <w:sz w:val="24"/>
      <w:szCs w:val="24"/>
      <w:lang w:val="pl-PL"/>
    </w:rPr>
  </w:style>
  <w:style w:type="character" w:styleId="ListLabel5" w:customStyle="1">
    <w:name w:val="ListLabel 5"/>
    <w:qFormat/>
    <w:rPr>
      <w:rFonts w:ascii="Times New Roman" w:hAnsi="Times New Roman" w:cs="Times New Roman"/>
      <w:b/>
      <w:bCs/>
      <w:sz w:val="24"/>
      <w:szCs w:val="24"/>
    </w:rPr>
  </w:style>
  <w:style w:type="character" w:styleId="ListLabel6" w:customStyle="1">
    <w:name w:val="ListLabel 6"/>
    <w:qFormat/>
    <w:rPr>
      <w:rFonts w:ascii="Times New Roman" w:hAnsi="Times New Roman" w:cs="Times New Roman"/>
      <w:sz w:val="24"/>
      <w:szCs w:val="24"/>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TekstdymkaZnak" w:customStyle="1">
    <w:name w:val="Tekst dymka Znak"/>
    <w:basedOn w:val="DefaultParagraphFont"/>
    <w:link w:val="Tekstdymka"/>
    <w:uiPriority w:val="99"/>
    <w:semiHidden/>
    <w:qFormat/>
    <w:rsid w:val="00d21e54"/>
    <w:rPr>
      <w:rFonts w:ascii="Segoe UI" w:hAnsi="Segoe UI" w:cs="Segoe UI"/>
      <w:sz w:val="18"/>
      <w:szCs w:val="18"/>
    </w:rPr>
  </w:style>
  <w:style w:type="character" w:styleId="ListLabel10">
    <w:name w:val="ListLabel 10"/>
    <w:qFormat/>
    <w:rPr>
      <w:rFonts w:ascii="Times New Roman" w:hAnsi="Times New Roman" w:cs="Times New Roman"/>
      <w:b/>
      <w:bCs w:val="false"/>
      <w:sz w:val="24"/>
      <w:szCs w:val="24"/>
    </w:rPr>
  </w:style>
  <w:style w:type="character" w:styleId="ListLabel11">
    <w:name w:val="ListLabel 11"/>
    <w:qFormat/>
    <w:rPr>
      <w:rFonts w:ascii="Times New Roman" w:hAnsi="Times New Roman" w:cs="Times New Roman"/>
      <w:b/>
      <w:bCs/>
      <w:sz w:val="24"/>
      <w:szCs w:val="24"/>
    </w:rPr>
  </w:style>
  <w:style w:type="character" w:styleId="ListLabel12">
    <w:name w:val="ListLabel 12"/>
    <w:qFormat/>
    <w:rPr>
      <w:rFonts w:ascii="Times New Roman" w:hAnsi="Times New Roman" w:cs="Calibri"/>
      <w:sz w:val="24"/>
      <w:szCs w:val="24"/>
    </w:rPr>
  </w:style>
  <w:style w:type="character" w:styleId="ListLabel13">
    <w:name w:val="ListLabel 13"/>
    <w:qFormat/>
    <w:rPr>
      <w:rFonts w:ascii="Times New Roman" w:hAnsi="Times New Roman" w:cs="Calibri"/>
      <w:b/>
      <w:sz w:val="24"/>
      <w:szCs w:val="24"/>
      <w:lang w:val="pl-PL"/>
    </w:rPr>
  </w:style>
  <w:style w:type="character" w:styleId="ListLabel14">
    <w:name w:val="ListLabel 14"/>
    <w:qFormat/>
    <w:rPr>
      <w:rFonts w:ascii="Times New Roman" w:hAnsi="Times New Roman" w:cs="Times New Roman"/>
      <w:b/>
      <w:bCs/>
      <w:sz w:val="24"/>
      <w:szCs w:val="24"/>
    </w:rPr>
  </w:style>
  <w:style w:type="character" w:styleId="ListLabel15">
    <w:name w:val="ListLabel 15"/>
    <w:qFormat/>
    <w:rPr>
      <w:rFonts w:ascii="Times New Roman" w:hAnsi="Times New Roman" w:cs="Times New Roman"/>
      <w:b/>
      <w:bCs/>
      <w:sz w:val="24"/>
      <w:szCs w:val="24"/>
    </w:rPr>
  </w:style>
  <w:style w:type="character" w:styleId="ListLabel16">
    <w:name w:val="ListLabel 16"/>
    <w:qFormat/>
    <w:rPr>
      <w:rFonts w:ascii="Times New Roman" w:hAnsi="Times New Roman" w:cs="Wingdings"/>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d21e54"/>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21e54"/>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LibreOffice/5.3.0.3$Windows_x86 LibreOffice_project/7074905676c47b82bbcfbea1aeefc84afe1c50e1</Application>
  <Pages>17</Pages>
  <Words>6611</Words>
  <Characters>45254</Characters>
  <CharactersWithSpaces>51527</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2020-02-26T20:55:00Z</dcterms:created>
  <dc:creator>Nieznany</dc:creator>
  <dc:description/>
  <dc:language>pl-PL</dc:language>
  <cp:lastModifiedBy>AGT</cp:lastModifiedBy>
  <dcterms:modified xsi:type="dcterms:W3CDTF">2020-06-16T11:23:00Z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