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bookmarkStart w:id="0" w:name="_GoBack"/>
      <w:bookmarkEnd w:id="0"/>
      <w:r>
        <w:rPr>
          <w:rFonts w:cs="Tahoma" w:ascii="Tahoma" w:hAnsi="Tahoma"/>
          <w:bCs/>
          <w:sz w:val="16"/>
          <w:szCs w:val="16"/>
          <w:lang w:val="pl-PL"/>
        </w:rPr>
        <w:t>Załącznik nr 5</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Inżynieria lądowa i transport</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1" w:name="__DdeLink__741_2702348765"/>
      <w:bookmarkEnd w:id="1"/>
      <w:r>
        <w:rPr>
          <w:rFonts w:cs="Times New Roman" w:ascii="Times New Roman" w:hAnsi="Times New Roman"/>
          <w:b/>
          <w:bCs/>
          <w:sz w:val="24"/>
        </w:rPr>
        <w:t>Civil engineering and Transport</w:t>
      </w:r>
    </w:p>
    <w:p>
      <w:pPr>
        <w:pStyle w:val="Domylne"/>
        <w:spacing w:lineRule="auto" w:line="276"/>
        <w:jc w:val="center"/>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Engineering and Technology</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Civil Engineering and Transport</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Degree awarded: PhD in Civil Engineering and Transport</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Program Coordinator: </w:t>
      </w:r>
    </w:p>
    <w:p>
      <w:pPr>
        <w:pStyle w:val="Domylne"/>
        <w:spacing w:lineRule="auto" w:line="276"/>
        <w:ind w:left="708" w:hanging="0"/>
        <w:jc w:val="both"/>
        <w:rPr>
          <w:rFonts w:ascii="Times New Roman" w:hAnsi="Times New Roman" w:eastAsia="Calibri" w:cs="Times New Roman"/>
          <w:i/>
          <w:i/>
          <w:iCs/>
          <w:u w:val="none" w:color="000000"/>
        </w:rPr>
      </w:pPr>
      <w:r>
        <w:rPr>
          <w:rFonts w:eastAsia="Calibri" w:cs="Times New Roman" w:ascii="Times New Roman" w:hAnsi="Times New Roman"/>
          <w:i/>
          <w:iCs/>
          <w:u w:val="none" w:color="000000"/>
        </w:rPr>
        <w:t>Name: dr hab. inż. Marcin Koniorczyk</w:t>
      </w:r>
    </w:p>
    <w:p>
      <w:pPr>
        <w:pStyle w:val="Domylne"/>
        <w:spacing w:lineRule="auto" w:line="276"/>
        <w:ind w:left="708" w:hanging="0"/>
        <w:jc w:val="both"/>
        <w:rPr>
          <w:rFonts w:ascii="Times New Roman" w:hAnsi="Times New Roman" w:eastAsia="Helvetica" w:cs="Times New Roman"/>
          <w:i/>
          <w:i/>
          <w:u w:val="none" w:color="FF0000"/>
          <w:lang w:val="en-US"/>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r>
        <w:rPr>
          <w:rFonts w:eastAsia="Helvetica" w:cs="Times New Roman" w:ascii="Times New Roman" w:hAnsi="Times New Roman"/>
          <w:i/>
          <w:u w:val="none" w:color="FF0000"/>
          <w:lang w:val="en-US"/>
        </w:rPr>
        <w:t>marcin.koniorczyk@p.lodz.pl</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Style w:val="TableNormal"/>
        <w:tblW w:w="5000" w:type="pct"/>
        <w:jc w:val="left"/>
        <w:tblInd w:w="-37" w:type="dxa"/>
        <w:tblCellMar>
          <w:top w:w="80" w:type="dxa"/>
          <w:left w:w="75" w:type="dxa"/>
          <w:bottom w:w="80" w:type="dxa"/>
          <w:right w:w="80" w:type="dxa"/>
        </w:tblCellMar>
        <w:tblLook w:firstRow="1" w:noVBand="1" w:lastRow="0" w:firstColumn="1" w:lastColumn="0" w:noHBand="0" w:val="04a0"/>
      </w:tblPr>
      <w:tblGrid>
        <w:gridCol w:w="615"/>
        <w:gridCol w:w="3728"/>
        <w:gridCol w:w="2069"/>
        <w:gridCol w:w="2659"/>
      </w:tblGrid>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No</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Name and surname</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Title/degree</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themeFill="accent4" w:themeFillTint="99" w:val="clear"/>
            <w:tcMar>
              <w:left w:w="75" w:type="dxa"/>
            </w:tcMar>
            <w:vAlign w:val="center"/>
          </w:tcPr>
          <w:p>
            <w:pPr>
              <w:pStyle w:val="Domylne"/>
              <w:spacing w:lineRule="auto" w:line="240" w:before="0" w:after="0"/>
              <w:jc w:val="center"/>
              <w:rPr>
                <w:rFonts w:ascii="Times New Roman" w:hAnsi="Times New Roman" w:cs="Times New Roman"/>
                <w:sz w:val="18"/>
                <w:szCs w:val="18"/>
              </w:rPr>
            </w:pPr>
            <w:r>
              <w:rPr>
                <w:rFonts w:eastAsia="Arial Unicode MS" w:cs="Times New Roman" w:ascii="Times New Roman" w:hAnsi="Times New Roman"/>
                <w:sz w:val="18"/>
                <w:szCs w:val="18"/>
                <w:u w:val="none" w:color="000000"/>
                <w:lang w:val="en-GB" w:eastAsia="en-GB"/>
              </w:rPr>
              <w:t>Website/ORCID</w:t>
            </w:r>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Jarosław Jędrysiak</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https://orcid.org/0000-0002-4217-9198</w:t>
            </w:r>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2</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Dariusz Gawin</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https://orcid.org/0000-0002-8240-4425</w:t>
            </w:r>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3</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Marek Lefik</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2">
              <w:r>
                <w:rPr>
                  <w:rStyle w:val="Czeinternetowe"/>
                  <w:rFonts w:eastAsia="Arial Unicode MS" w:cs="Times New Roman"/>
                  <w:sz w:val="18"/>
                  <w:szCs w:val="18"/>
                  <w:lang w:val="en-GB" w:eastAsia="en-GB"/>
                </w:rPr>
                <w:t>0000-0001-9296-6205</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4</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Marcin Kamiński</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3">
              <w:r>
                <w:rPr>
                  <w:rStyle w:val="Czeinternetowe"/>
                  <w:rFonts w:eastAsia="Arial Unicode MS" w:cs="Times New Roman"/>
                  <w:sz w:val="18"/>
                  <w:szCs w:val="18"/>
                  <w:lang w:val="en-GB" w:eastAsia="en-GB"/>
                </w:rPr>
                <w:t>0000-0002-8180-6991</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5</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Zdzisław Więckowski</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Prof.</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4">
              <w:r>
                <w:rPr>
                  <w:rStyle w:val="Czeinternetowe"/>
                  <w:rFonts w:eastAsia="Arial Unicode MS" w:cs="Times New Roman"/>
                  <w:sz w:val="18"/>
                  <w:szCs w:val="18"/>
                  <w:lang w:val="en-GB" w:eastAsia="en-GB"/>
                </w:rPr>
                <w:t>0000-0002-8207-9116</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6</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Marcin Koniorczyk</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https://orcid.org/0000-0002-6887-4324</w:t>
            </w:r>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7</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Renata Kotynia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5">
              <w:r>
                <w:rPr>
                  <w:rStyle w:val="Czeinternetowe"/>
                  <w:rFonts w:eastAsia="Arial Unicode MS" w:cs="Times New Roman"/>
                  <w:sz w:val="18"/>
                  <w:szCs w:val="18"/>
                  <w:lang w:val="en-GB" w:eastAsia="en-GB"/>
                </w:rPr>
                <w:t>0000-0002-7247-1229</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8</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Piotr Ostrowski</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6">
              <w:r>
                <w:rPr>
                  <w:rStyle w:val="Czeinternetowe"/>
                  <w:rFonts w:eastAsia="Arial Unicode MS" w:cs="Times New Roman"/>
                  <w:sz w:val="18"/>
                  <w:szCs w:val="18"/>
                  <w:lang w:val="en-GB" w:eastAsia="en-GB"/>
                </w:rPr>
                <w:t>0000-0002-3088-4607</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9</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Jacek Szafran</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7">
              <w:r>
                <w:rPr>
                  <w:rStyle w:val="Czeinternetowe"/>
                  <w:rFonts w:eastAsia="Arial Unicode MS" w:cs="Times New Roman"/>
                  <w:sz w:val="18"/>
                  <w:szCs w:val="18"/>
                  <w:lang w:val="en-GB" w:eastAsia="en-GB"/>
                </w:rPr>
                <w:t>0000-0002-6984-0193</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10</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Artur Wirowski</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 hab. inż.</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8">
              <w:r>
                <w:rPr>
                  <w:rStyle w:val="Czeinternetowe"/>
                  <w:rFonts w:eastAsia="Arial Unicode MS" w:cs="Times New Roman"/>
                  <w:sz w:val="18"/>
                  <w:szCs w:val="18"/>
                  <w:lang w:val="en-GB" w:eastAsia="en-GB"/>
                </w:rPr>
                <w:t>0000-0001-5251-321X</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11</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Piotr Konca</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9">
              <w:r>
                <w:rPr>
                  <w:rStyle w:val="Czeinternetowe"/>
                  <w:rFonts w:eastAsia="Arial Unicode MS" w:cs="Times New Roman"/>
                  <w:sz w:val="18"/>
                  <w:szCs w:val="18"/>
                  <w:lang w:val="en-GB" w:eastAsia="en-GB"/>
                </w:rPr>
                <w:t>0000-0002-5415-5169</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12</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Michał Gołdyn</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10">
              <w:r>
                <w:rPr>
                  <w:rStyle w:val="Czeinternetowe"/>
                  <w:rFonts w:eastAsia="Arial Unicode MS" w:cs="Times New Roman"/>
                  <w:sz w:val="18"/>
                  <w:szCs w:val="18"/>
                  <w:lang w:val="en-GB" w:eastAsia="en-GB"/>
                </w:rPr>
                <w:t>0000-0002-7791-1940</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13</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Witold Grymin</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pPr>
            <w:r>
              <w:rPr>
                <w:rFonts w:eastAsia="Arial Unicode MS" w:cs="Times New Roman"/>
                <w:sz w:val="18"/>
                <w:szCs w:val="18"/>
                <w:lang w:val="en-GB" w:eastAsia="en-GB"/>
              </w:rPr>
              <w:t>https://orcid.org/</w:t>
            </w:r>
            <w:hyperlink r:id="rId11">
              <w:r>
                <w:rPr>
                  <w:rStyle w:val="Czeinternetowe"/>
                  <w:rFonts w:eastAsia="Arial Unicode MS" w:cs="Times New Roman"/>
                  <w:sz w:val="18"/>
                  <w:szCs w:val="18"/>
                  <w:lang w:val="en-GB" w:eastAsia="en-GB"/>
                </w:rPr>
                <w:t>0000-0002-2012-6087</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14</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Paulina Świątkiewicz</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mgr</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spacing w:lineRule="auto" w:line="240" w:before="0" w:after="0"/>
              <w:jc w:val="center"/>
              <w:rPr/>
            </w:pPr>
            <w:hyperlink r:id="rId12">
              <w:r>
                <w:rPr>
                  <w:rStyle w:val="Czeinternetowe"/>
                  <w:rFonts w:eastAsia="Arial Unicode MS" w:cs="Times New Roman"/>
                  <w:sz w:val="18"/>
                  <w:szCs w:val="18"/>
                  <w:lang w:val="en-GB" w:eastAsia="en-GB"/>
                </w:rPr>
                <w:t>https://orcid.org/0000-0003-0985-0792</w:t>
              </w:r>
            </w:hyperlink>
          </w:p>
        </w:tc>
      </w:tr>
      <w:tr>
        <w:trPr>
          <w:trHeight w:val="290" w:hRule="atLeast"/>
        </w:trPr>
        <w:tc>
          <w:tcPr>
            <w:tcW w:w="6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15</w:t>
            </w:r>
          </w:p>
        </w:tc>
        <w:tc>
          <w:tcPr>
            <w:tcW w:w="37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lang w:val="pl-PL"/>
              </w:rPr>
            </w:pPr>
            <w:r>
              <w:rPr>
                <w:rFonts w:eastAsia="Arial Unicode MS" w:cs="Times New Roman"/>
                <w:sz w:val="18"/>
                <w:szCs w:val="18"/>
                <w:lang w:val="pl-PL" w:eastAsia="en-GB"/>
              </w:rPr>
              <w:t>Tomasz Waśniwski</w:t>
            </w:r>
          </w:p>
        </w:tc>
        <w:tc>
          <w:tcPr>
            <w:tcW w:w="20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dr</w:t>
            </w:r>
          </w:p>
        </w:tc>
        <w:tc>
          <w:tcPr>
            <w:tcW w:w="26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spacing w:lineRule="auto" w:line="240" w:before="0" w:after="0"/>
              <w:jc w:val="center"/>
              <w:rPr>
                <w:sz w:val="18"/>
                <w:szCs w:val="18"/>
              </w:rPr>
            </w:pPr>
            <w:r>
              <w:rPr>
                <w:rFonts w:eastAsia="Arial Unicode MS" w:cs="Times New Roman"/>
                <w:sz w:val="18"/>
                <w:szCs w:val="18"/>
                <w:lang w:val="en-GB" w:eastAsia="en-GB"/>
              </w:rPr>
              <w:t>https://orcid.org/0000-0001-7303-4920</w:t>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Training demand</w:t>
      </w:r>
    </w:p>
    <w:p>
      <w:pPr>
        <w:pStyle w:val="Domylne"/>
        <w:pBdr/>
        <w:spacing w:lineRule="auto" w:line="276"/>
        <w:jc w:val="both"/>
        <w:rPr>
          <w:rFonts w:ascii="Times New Roman" w:hAnsi="Times New Roman" w:cs="Times New Roman"/>
          <w:sz w:val="24"/>
          <w:szCs w:val="24"/>
          <w:u w:val="none" w:color="FF0000"/>
          <w:lang w:val="en-US"/>
        </w:rPr>
      </w:pPr>
      <w:r>
        <w:rPr>
          <w:rFonts w:cs="Times New Roman" w:ascii="Times New Roman" w:hAnsi="Times New Roman"/>
          <w:sz w:val="24"/>
          <w:szCs w:val="24"/>
          <w:u w:val="none" w:color="FF0000"/>
          <w:lang w:val="en-US"/>
        </w:rPr>
      </w:r>
    </w:p>
    <w:p>
      <w:pPr>
        <w:pStyle w:val="Domylne"/>
        <w:pBdr/>
        <w:spacing w:lineRule="auto" w:line="276"/>
        <w:ind w:firstLine="360"/>
        <w:jc w:val="both"/>
        <w:rPr>
          <w:rFonts w:ascii="Times New Roman" w:hAnsi="Times New Roman" w:cs="Times New Roman"/>
        </w:rPr>
      </w:pPr>
      <w:r>
        <w:rPr>
          <w:rFonts w:cs="Times New Roman" w:ascii="Times New Roman" w:hAnsi="Times New Roman"/>
        </w:rPr>
        <w:t>The knowledge based society requires highly skilled workers in various branches of industry related to material engineering, construction design, building maintenance, sustainable development, high schools ranking among the top ones, higher education and research and development centres. According to thorough investigations civil engineers are commonly those with least unemployment rate among engineers from various technical disciplines. This is a consequence of both theoretical and practical training which is implemented and which is based on utmost scrutiny and high level analysis. Moreover, the research skills, trained in civil engineering courses, lead to the habit of checking all details and foreseeing possible opportunities which is believed to be indispensable in a modern economy, which is based on innovation. With such a profile of research and related skills PhD in civil engineering are valued as possible employees in areas that require comprehensive analytical skills. Last but not least there is some demand of employing new instructors and assistant professors at universities and colleges in Poland due to the fact of increasing generation gap that has been observed. Moreover, graduates with attitude towards interdisciplinary research will bring some new ideas and possible influence future research directions.</w:t>
      </w:r>
    </w:p>
    <w:p>
      <w:pPr>
        <w:pStyle w:val="Domylne"/>
        <w:pBdr/>
        <w:spacing w:lineRule="auto" w:line="276"/>
        <w:ind w:firstLine="36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Detailed entry requirements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ind w:firstLine="360"/>
        <w:jc w:val="both"/>
        <w:rPr>
          <w:rFonts w:ascii="Times New Roman" w:hAnsi="Times New Roman" w:eastAsia="Times New Roman" w:cs="Times New Roman"/>
          <w:color w:val="333333"/>
          <w:szCs w:val="24"/>
          <w:highlight w:val="white"/>
          <w:lang w:eastAsia="pl-PL"/>
        </w:rPr>
      </w:pPr>
      <w:r>
        <w:rPr>
          <w:rFonts w:eastAsia="Times New Roman" w:cs="Times New Roman" w:ascii="Times New Roman" w:hAnsi="Times New Roman"/>
          <w:color w:val="333333"/>
          <w:szCs w:val="24"/>
          <w:shd w:fill="FFFFFF" w:val="clear"/>
          <w:lang w:eastAsia="pl-PL"/>
        </w:rPr>
        <w:t>For PhD in civil engineering there are eligible graduates of civil engineering, mechanics, materials engineering or other related courses. The candidates are advised to get in touch with possible future supervisor and tutors and start cooperation prior to the admission procedure. Future candidates are advised to investigate topics related to seminars held in the discipline of civil engineering and transport at the Lodz University of Technology as well as the formal and informal research requirements demanded by research groups. The choice of preferable research group prior to entrance examination is warmly advised since not all existing branches of civil engineering are present at LUT.</w:t>
      </w:r>
    </w:p>
    <w:p>
      <w:pPr>
        <w:pStyle w:val="Domylne"/>
        <w:pBdr/>
        <w:spacing w:lineRule="auto" w:line="276"/>
        <w:ind w:firstLine="360"/>
        <w:jc w:val="both"/>
        <w:rPr>
          <w:rFonts w:ascii="Times New Roman" w:hAnsi="Times New Roman" w:cs="Times New Roman"/>
          <w:szCs w:val="24"/>
          <w:u w:val="none" w:color="FF0000"/>
          <w:lang w:val="en-US"/>
        </w:rPr>
      </w:pPr>
      <w:r>
        <w:rPr>
          <w:rFonts w:cs="Times New Roman" w:ascii="Times New Roman" w:hAnsi="Times New Roman"/>
          <w:szCs w:val="24"/>
          <w:u w:val="none" w:color="FF0000"/>
          <w:lang w:val="en-US"/>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Teaching methods</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pBdr/>
        <w:spacing w:lineRule="auto" w:line="276"/>
        <w:ind w:firstLine="360"/>
        <w:jc w:val="both"/>
        <w:rPr>
          <w:rFonts w:ascii="Times New Roman" w:hAnsi="Times New Roman" w:cs="Times New Roman"/>
          <w:szCs w:val="24"/>
          <w:u w:val="none" w:color="000000"/>
        </w:rPr>
      </w:pPr>
      <w:r>
        <w:rPr>
          <w:rFonts w:cs="Times New Roman" w:ascii="Times New Roman" w:hAnsi="Times New Roman"/>
          <w:szCs w:val="24"/>
          <w:u w:val="none" w:color="000000"/>
        </w:rPr>
        <w:t>Teaching methods vary from course to course reflecting the teaching attitude towards civil engineering. These comprise, laboratory applying the up-to-date measuring techniques, presentations with details being presented on the board, seminars, projects and case study problem solving using modern software, development of numerical codes for solving various non-linear problems but also traditional board and chalk lectures are given. Very often a sort of mixed methods is employed. There are offered courses allowing for broadening of knowledge and developing skills from various fields of engineering: mechanics, materials engineering, materials chemistry, steel and concrete reinforced structures, etc. Level of the courses is based on the profile of candidates and so are the methods which would be chosen through the course.</w:t>
      </w:r>
    </w:p>
    <w:p>
      <w:pPr>
        <w:pStyle w:val="Domylne"/>
        <w:pBdr/>
        <w:spacing w:lineRule="auto" w:line="276"/>
        <w:jc w:val="both"/>
        <w:rPr>
          <w:rFonts w:ascii="Times New Roman" w:hAnsi="Times New Roman" w:cs="Times New Roman"/>
          <w:szCs w:val="24"/>
          <w:u w:val="none" w:color="000000"/>
        </w:rPr>
      </w:pPr>
      <w:r>
        <w:rPr>
          <w:rFonts w:cs="Times New Roman" w:ascii="Times New Roman" w:hAnsi="Times New Roman"/>
          <w:szCs w:val="24"/>
          <w:u w:val="none" w:color="000000"/>
        </w:rPr>
      </w:r>
    </w:p>
    <w:p>
      <w:pPr>
        <w:pStyle w:val="Domylne"/>
        <w:numPr>
          <w:ilvl w:val="0"/>
          <w:numId w:val="1"/>
        </w:numPr>
        <w:pBdr/>
        <w:spacing w:lineRule="auto" w:line="276"/>
        <w:jc w:val="both"/>
        <w:rPr>
          <w:rFonts w:ascii="Times New Roman" w:hAnsi="Times New Roman" w:cs="Times New Roman"/>
          <w:szCs w:val="24"/>
          <w:u w:val="none" w:color="000000"/>
          <w:lang w:val="en-US"/>
        </w:rPr>
      </w:pPr>
      <w:r>
        <w:rPr>
          <w:rFonts w:cs="Times New Roman" w:ascii="Times New Roman" w:hAnsi="Times New Roman"/>
          <w:szCs w:val="24"/>
          <w:u w:val="none" w:color="FF0000"/>
          <w:lang w:val="en-US"/>
        </w:rPr>
        <w:t xml:space="preserve">Graduate’s profile </w:t>
      </w:r>
    </w:p>
    <w:p>
      <w:pPr>
        <w:pStyle w:val="Domylne"/>
        <w:pBdr/>
        <w:spacing w:lineRule="auto" w:line="276"/>
        <w:ind w:left="720" w:hanging="0"/>
        <w:jc w:val="both"/>
        <w:rPr>
          <w:rFonts w:ascii="Times New Roman" w:hAnsi="Times New Roman" w:cs="Times New Roman"/>
          <w:szCs w:val="24"/>
          <w:u w:val="none" w:color="000000"/>
          <w:lang w:val="en-US"/>
        </w:rPr>
      </w:pPr>
      <w:r>
        <w:rPr>
          <w:rFonts w:cs="Times New Roman" w:ascii="Times New Roman" w:hAnsi="Times New Roman"/>
          <w:szCs w:val="24"/>
          <w:u w:val="none" w:color="000000"/>
          <w:lang w:val="en-US"/>
        </w:rPr>
      </w:r>
    </w:p>
    <w:p>
      <w:pPr>
        <w:pStyle w:val="Domylne"/>
        <w:spacing w:lineRule="auto" w:line="276"/>
        <w:ind w:firstLine="360"/>
        <w:jc w:val="both"/>
        <w:rPr>
          <w:rFonts w:ascii="Times New Roman" w:hAnsi="Times New Roman" w:eastAsia="Times New Roman" w:cs="Times New Roman"/>
          <w:color w:val="00000A"/>
          <w:szCs w:val="24"/>
          <w:lang w:eastAsia="pl-PL"/>
        </w:rPr>
      </w:pPr>
      <w:r>
        <w:rPr>
          <w:rFonts w:eastAsia="Times New Roman" w:cs="Times New Roman" w:ascii="Times New Roman" w:hAnsi="Times New Roman"/>
          <w:color w:val="00000A"/>
          <w:szCs w:val="24"/>
          <w:lang w:eastAsia="pl-PL"/>
        </w:rPr>
        <w:t>PhD graduate in civil engineering and transport knows and understands the worldwide scientific knowledge related to the area of PhD thesis and their implications for practical applications, especially in the other branches of engineering. The graduate can perform through analysis and synthesis of scientific results in order to identify and solve research task with introduction of innovative solutions and observations. PhD graduate is equipped with the broad knowledge in the field of civil engineering concerning in particular the mechanics of microstructural materials, the multiphysics problems, thermo-mechanics, etc. One  is able to recognize and analyse the problems, select and efficiently use the appropriate scientific tools. The graduate can plan her/his development and inspire others to participate in discussions, solving problems, also in international environment. The graduate is ready to start independent scientific research, undertake challenges both in science and society, putting emphasis on ethical aspects and social impact of undertaken tasks.</w:t>
      </w:r>
    </w:p>
    <w:p>
      <w:pPr>
        <w:pStyle w:val="Domylne"/>
        <w:spacing w:lineRule="auto" w:line="276"/>
        <w:jc w:val="both"/>
        <w:rPr>
          <w:rFonts w:ascii="Times New Roman" w:hAnsi="Times New Roman" w:eastAsia="Helvetica" w:cs="Times New Roman"/>
          <w:u w:val="none" w:color="FF0000"/>
        </w:rPr>
      </w:pPr>
      <w:r>
        <w:rPr>
          <w:rFonts w:eastAsia="Helvetica" w:cs="Times New Roman" w:ascii="Times New Roman" w:hAnsi="Times New Roman"/>
          <w:u w:val="none" w:color="FF0000"/>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64"/>
        <w:gridCol w:w="1624"/>
        <w:gridCol w:w="1687"/>
        <w:gridCol w:w="566"/>
        <w:gridCol w:w="566"/>
        <w:gridCol w:w="566"/>
        <w:gridCol w:w="566"/>
        <w:gridCol w:w="566"/>
        <w:gridCol w:w="594"/>
        <w:gridCol w:w="1"/>
        <w:gridCol w:w="1671"/>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2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lang w:val="en-GB"/>
              </w:rPr>
            </w:pPr>
            <w:r>
              <w:rPr>
                <w:sz w:val="18"/>
                <w:szCs w:val="18"/>
                <w:lang w:val="en-GB"/>
              </w:rPr>
              <w:t>Physics of Building Materials 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lang w:val="en-GB"/>
              </w:rPr>
            </w:pPr>
            <w:r>
              <w:rPr>
                <w:sz w:val="18"/>
                <w:szCs w:val="18"/>
                <w:lang w:val="en-GB"/>
              </w:rPr>
              <w:t>Physics of Building Materials 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lang w:val="en-GB"/>
              </w:rPr>
            </w:pPr>
            <w:r>
              <w:rPr>
                <w:sz w:val="18"/>
                <w:szCs w:val="18"/>
                <w:lang w:val="en-GB"/>
              </w:rPr>
              <w:t>Reliability and Optimization in Civil Engineering 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rHeight w:val="703" w:hRule="atLeast"/>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5</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lang w:val="en-GB"/>
              </w:rPr>
            </w:pPr>
            <w:r>
              <w:rPr>
                <w:sz w:val="18"/>
                <w:szCs w:val="18"/>
                <w:lang w:val="en-GB"/>
              </w:rPr>
              <w:t>Reliability and Optimization in Civil Engineering 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7</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8</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75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5</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2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CC5</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lang w:val="en-GB"/>
              </w:rPr>
            </w:pPr>
            <w:r>
              <w:rPr>
                <w:sz w:val="18"/>
                <w:szCs w:val="18"/>
                <w:lang w:val="en-GB"/>
              </w:rPr>
              <w:t>Advanced mechanics of soils 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CC6</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lang w:val="en-GB"/>
              </w:rPr>
            </w:pPr>
            <w:r>
              <w:rPr>
                <w:sz w:val="18"/>
                <w:szCs w:val="18"/>
                <w:lang w:val="en-GB"/>
              </w:rPr>
              <w:t>Advanced mechanics of soils 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10</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sz w:val="18"/>
                <w:szCs w:val="18"/>
              </w:rPr>
            </w:pPr>
            <w:r>
              <w:rPr>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6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2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68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25"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6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2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8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CC7</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18"/>
                <w:szCs w:val="18"/>
                <w:lang w:val="en-GB"/>
              </w:rPr>
            </w:pPr>
            <w:r>
              <w:rPr>
                <w:rFonts w:ascii="Arial Narrow" w:hAnsi="Arial Narrow"/>
                <w:sz w:val="18"/>
                <w:szCs w:val="18"/>
                <w:lang w:val="en-GB"/>
              </w:rPr>
              <w:t>Computational methods in non-linear solid mechanics 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lang w:val="en-GB"/>
              </w:rPr>
            </w:pPr>
            <w:r>
              <w:rPr>
                <w:rFonts w:ascii="Arial Narrow" w:hAnsi="Arial Narrow"/>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lang w:val="en-GB"/>
              </w:rPr>
            </w:pPr>
            <w:r>
              <w:rPr>
                <w:rFonts w:ascii="Arial Narrow" w:hAnsi="Arial Narrow"/>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CC8</w:t>
            </w:r>
          </w:p>
        </w:tc>
        <w:tc>
          <w:tcPr>
            <w:tcW w:w="16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Arial Narrow" w:hAnsi="Arial Narrow"/>
                <w:sz w:val="18"/>
                <w:szCs w:val="18"/>
                <w:lang w:val="en-GB"/>
              </w:rPr>
            </w:pPr>
            <w:r>
              <w:rPr>
                <w:rFonts w:ascii="Arial Narrow" w:hAnsi="Arial Narrow"/>
                <w:sz w:val="18"/>
                <w:szCs w:val="18"/>
                <w:lang w:val="en-GB"/>
              </w:rPr>
              <w:t>Computational methods in non-linear solid mechanics II</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lang w:val="en-GB"/>
              </w:rPr>
            </w:pPr>
            <w:r>
              <w:rPr>
                <w:rFonts w:ascii="Arial Narrow" w:hAnsi="Arial Narrow"/>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lang w:val="en-GB"/>
              </w:rPr>
            </w:pPr>
            <w:r>
              <w:rPr>
                <w:rFonts w:ascii="Arial Narrow" w:hAnsi="Arial Narrow"/>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lang w:val="en-GB"/>
              </w:rPr>
            </w:pPr>
            <w:r>
              <w:rPr>
                <w:rFonts w:ascii="Arial Narrow" w:hAnsi="Arial Narrow"/>
                <w:sz w:val="18"/>
                <w:szCs w:val="18"/>
                <w:lang w:val="en-GB"/>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t>15</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Arial Narrow" w:hAnsi="Arial Narrow"/>
                <w:sz w:val="18"/>
                <w:szCs w:val="18"/>
              </w:rPr>
            </w:pPr>
            <w:r>
              <w:rPr>
                <w:rFonts w:ascii="Arial Narrow" w:hAnsi="Arial Narrow"/>
                <w:sz w:val="18"/>
                <w:szCs w:val="18"/>
              </w:rPr>
              <w:t>15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397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7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Liberation Sans">
    <w:altName w:val="Arial"/>
    <w:charset w:val="ee"/>
    <w:family w:val="swiss"/>
    <w:pitch w:val="variable"/>
  </w:font>
  <w:font w:name="Helvetica Neue">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uiPriority w:val="99"/>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rcid.org/0000-0001-9296-6205" TargetMode="External"/><Relationship Id="rId3" Type="http://schemas.openxmlformats.org/officeDocument/2006/relationships/hyperlink" Target="https://www.scopus.com/redirect.uri?url=http://www.orcid.org/0000-0002-8180-6991&amp;authorId=35275335000&amp;origin=AuthorProfile&amp;orcId=0000-0002-8180-6991&amp;category=orcidLink" TargetMode="External"/><Relationship Id="rId4" Type="http://schemas.openxmlformats.org/officeDocument/2006/relationships/hyperlink" Target="https://orcid.org/0000-0002-8207-9116" TargetMode="External"/><Relationship Id="rId5" Type="http://schemas.openxmlformats.org/officeDocument/2006/relationships/hyperlink" Target="https://orcid.org/0000-0002-7247-1229" TargetMode="External"/><Relationship Id="rId6" Type="http://schemas.openxmlformats.org/officeDocument/2006/relationships/hyperlink" Target="https://orcid.org/0000-0002-3088-4607" TargetMode="External"/><Relationship Id="rId7" Type="http://schemas.openxmlformats.org/officeDocument/2006/relationships/hyperlink" Target="https://orcid.org/0000-0002-6984-0193" TargetMode="External"/><Relationship Id="rId8" Type="http://schemas.openxmlformats.org/officeDocument/2006/relationships/hyperlink" Target="https://orcid.org/0000-0001-5251-321X" TargetMode="External"/><Relationship Id="rId9" Type="http://schemas.openxmlformats.org/officeDocument/2006/relationships/hyperlink" Target="https://orcid.org/0000-0002-5415-5169" TargetMode="External"/><Relationship Id="rId10" Type="http://schemas.openxmlformats.org/officeDocument/2006/relationships/hyperlink" Target="https://orcid.org/0000-0002-7791-1940" TargetMode="External"/><Relationship Id="rId11" Type="http://schemas.openxmlformats.org/officeDocument/2006/relationships/hyperlink" Target="https://orcid.org/0000-0002-2012-6087" TargetMode="External"/><Relationship Id="rId12" Type="http://schemas.openxmlformats.org/officeDocument/2006/relationships/hyperlink" Target="https://orcid.org/0000-0003-0985-0792"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BEA968D1-F097-42A4-8ECC-DB436E04A7F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LibreOffice/5.3.0.3$Windows_x86 LibreOffice_project/7074905676c47b82bbcfbea1aeefc84afe1c50e1</Application>
  <Pages>11</Pages>
  <Words>879</Words>
  <Characters>5312</Characters>
  <CharactersWithSpaces>6000</CharactersWithSpaces>
  <Paragraphs>190</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2019-05-23T13:36:00Z</dcterms:created>
  <dc:creator>Maciej Boguń</dc:creator>
  <dc:description/>
  <dc:language>pl-PL</dc:language>
  <cp:lastModifiedBy>Małgorzata Kupczyńska</cp:lastModifiedBy>
  <dcterms:modified xsi:type="dcterms:W3CDTF">2019-05-24T12:59:00Z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