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sz w:val="18"/>
          <w:szCs w:val="18"/>
        </w:rPr>
      </w:pPr>
      <w:r>
        <w:rPr>
          <w:rFonts w:cs="Arial" w:ascii="Arial" w:hAnsi="Arial"/>
          <w:sz w:val="18"/>
          <w:szCs w:val="18"/>
        </w:rPr>
      </w:r>
    </w:p>
    <w:tbl>
      <w:tblPr>
        <w:tblW w:w="9062" w:type="dxa"/>
        <w:jc w:val="left"/>
        <w:tblInd w:w="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firstRow="1" w:noVBand="1" w:lastRow="0" w:firstColumn="1" w:lastColumn="0" w:noHBand="0" w:val="04a0"/>
      </w:tblPr>
      <w:tblGrid>
        <w:gridCol w:w="2182"/>
        <w:gridCol w:w="6879"/>
      </w:tblGrid>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Course code</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sz w:val="18"/>
                <w:szCs w:val="18"/>
              </w:rPr>
              <w:t>CC1-4</w:t>
            </w:r>
          </w:p>
        </w:tc>
      </w:tr>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Type and description</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Core Curriculum in Physics</w:t>
            </w:r>
          </w:p>
        </w:tc>
      </w:tr>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ECTS credit</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1</w:t>
            </w:r>
          </w:p>
        </w:tc>
      </w:tr>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Course name</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b/>
                <w:b/>
                <w:sz w:val="18"/>
                <w:szCs w:val="18"/>
              </w:rPr>
            </w:pPr>
            <w:bookmarkStart w:id="0" w:name="__DdeLink__249_1792938991"/>
            <w:bookmarkEnd w:id="0"/>
            <w:r>
              <w:rPr>
                <w:rFonts w:cs="Times New Roman" w:ascii="Times New Roman" w:hAnsi="Times New Roman"/>
                <w:b/>
                <w:sz w:val="18"/>
                <w:szCs w:val="18"/>
              </w:rPr>
              <w:t>Current trends in physical sciences</w:t>
            </w:r>
          </w:p>
        </w:tc>
      </w:tr>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Course name in Polish</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b/>
                <w:b/>
                <w:sz w:val="18"/>
                <w:szCs w:val="18"/>
                <w:lang w:val="pl-PL"/>
              </w:rPr>
            </w:pPr>
            <w:r>
              <w:rPr>
                <w:rFonts w:cs="Times New Roman" w:ascii="Times New Roman" w:hAnsi="Times New Roman"/>
                <w:b/>
                <w:sz w:val="18"/>
                <w:szCs w:val="18"/>
                <w:lang w:val="pl-PL"/>
              </w:rPr>
              <w:t>Współczesne trendy rozwoju głównych dziedzin fizyki</w:t>
            </w:r>
          </w:p>
        </w:tc>
      </w:tr>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Language of instruction</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English</w:t>
            </w:r>
          </w:p>
        </w:tc>
      </w:tr>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Course level</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8 PRK</w:t>
            </w:r>
          </w:p>
        </w:tc>
      </w:tr>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 xml:space="preserve">Course coordinator </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b/>
                <w:b/>
                <w:sz w:val="18"/>
                <w:szCs w:val="18"/>
                <w:lang w:val="pl-PL"/>
              </w:rPr>
            </w:pPr>
            <w:r>
              <w:rPr>
                <w:rFonts w:cs="Times New Roman" w:ascii="Times New Roman" w:hAnsi="Times New Roman"/>
                <w:b/>
                <w:sz w:val="18"/>
                <w:szCs w:val="18"/>
                <w:lang w:val="pl-PL"/>
              </w:rPr>
              <w:t>prof. dr hab. Katarzyna Pernal</w:t>
            </w:r>
          </w:p>
        </w:tc>
      </w:tr>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Course instructors</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b/>
                <w:b/>
                <w:sz w:val="18"/>
                <w:szCs w:val="18"/>
              </w:rPr>
            </w:pPr>
            <w:r>
              <w:rPr>
                <w:rFonts w:cs="Times New Roman" w:ascii="Times New Roman" w:hAnsi="Times New Roman"/>
                <w:b/>
                <w:sz w:val="18"/>
                <w:szCs w:val="18"/>
                <w:lang w:val="pl-PL"/>
              </w:rPr>
              <w:t xml:space="preserve">dr hab. inż. Jolanta Prywer, dr hab. inż. Jaromir Tosiek, dr inż. Michał Dobrski, prof. dr hab. Katarzyna Pernal, dr inż. Ewa Pastorczak, prof. dr hab. Włodzimierz Kucharczyk, dr hab. inż. Mariola Buczkowska, dr hab. inż. Tomasz Czyszanowski, dr hab. inż. </w:t>
            </w:r>
            <w:r>
              <w:rPr>
                <w:rFonts w:cs="Times New Roman" w:ascii="Times New Roman" w:hAnsi="Times New Roman"/>
                <w:b/>
                <w:sz w:val="18"/>
                <w:szCs w:val="18"/>
              </w:rPr>
              <w:t>Michał Wasiak, dr hab. inż. Maciej Dems</w:t>
            </w:r>
          </w:p>
        </w:tc>
      </w:tr>
      <w:tr>
        <w:trPr>
          <w:trHeight w:val="105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Delivery methods and course duration</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tbl>
            <w:tblPr>
              <w:tblStyle w:val="TableNormal"/>
              <w:tblW w:w="6750" w:type="dxa"/>
              <w:jc w:val="left"/>
              <w:tblInd w:w="0" w:type="dxa"/>
              <w:tblCellMar>
                <w:top w:w="0" w:type="dxa"/>
                <w:left w:w="-2" w:type="dxa"/>
                <w:bottom w:w="0" w:type="dxa"/>
                <w:right w:w="0" w:type="dxa"/>
              </w:tblCellMar>
              <w:tblLook w:firstRow="1" w:noVBand="1" w:lastRow="0" w:firstColumn="1" w:lastColumn="0" w:noHBand="0" w:val="04a0"/>
            </w:tblPr>
            <w:tblGrid>
              <w:gridCol w:w="972"/>
              <w:gridCol w:w="715"/>
              <w:gridCol w:w="843"/>
              <w:gridCol w:w="998"/>
              <w:gridCol w:w="692"/>
              <w:gridCol w:w="843"/>
              <w:gridCol w:w="845"/>
              <w:gridCol w:w="841"/>
            </w:tblGrid>
            <w:tr>
              <w:trPr/>
              <w:tc>
                <w:tcPr>
                  <w:tcW w:w="972"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lang w:val="pl-PL" w:eastAsia="zh-CN" w:bidi="hi-IN"/>
                    </w:rPr>
                  </w:pPr>
                  <w:r>
                    <w:rPr>
                      <w:rFonts w:cs="Times New Roman" w:ascii="Times New Roman" w:hAnsi="Times New Roman"/>
                      <w:sz w:val="14"/>
                      <w:szCs w:val="18"/>
                      <w:lang w:val="pl-PL" w:eastAsia="zh-CN" w:bidi="hi-IN"/>
                    </w:rPr>
                  </w:r>
                </w:p>
              </w:tc>
              <w:tc>
                <w:tcPr>
                  <w:tcW w:w="715"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b/>
                      <w:bCs/>
                      <w:sz w:val="14"/>
                      <w:szCs w:val="18"/>
                      <w:lang w:val="en-US" w:eastAsia="zh-CN" w:bidi="hi-IN"/>
                    </w:rPr>
                    <w:t>Lecture</w:t>
                  </w:r>
                </w:p>
              </w:tc>
              <w:tc>
                <w:tcPr>
                  <w:tcW w:w="843"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b/>
                      <w:bCs/>
                      <w:sz w:val="14"/>
                      <w:szCs w:val="18"/>
                      <w:lang w:val="en-US" w:eastAsia="zh-CN" w:bidi="hi-IN"/>
                    </w:rPr>
                    <w:t>Tutorials</w:t>
                  </w:r>
                </w:p>
              </w:tc>
              <w:tc>
                <w:tcPr>
                  <w:tcW w:w="998"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b/>
                      <w:bCs/>
                      <w:sz w:val="14"/>
                      <w:szCs w:val="18"/>
                      <w:lang w:val="en-US" w:eastAsia="zh-CN" w:bidi="hi-IN"/>
                    </w:rPr>
                    <w:t>Laboratory</w:t>
                  </w:r>
                </w:p>
              </w:tc>
              <w:tc>
                <w:tcPr>
                  <w:tcW w:w="692"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b/>
                      <w:bCs/>
                      <w:sz w:val="14"/>
                      <w:szCs w:val="18"/>
                      <w:lang w:val="en-US" w:eastAsia="zh-CN" w:bidi="hi-IN"/>
                    </w:rPr>
                    <w:t>Project</w:t>
                  </w:r>
                </w:p>
              </w:tc>
              <w:tc>
                <w:tcPr>
                  <w:tcW w:w="843"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b/>
                      <w:bCs/>
                      <w:sz w:val="14"/>
                      <w:szCs w:val="18"/>
                      <w:lang w:val="en-US" w:eastAsia="zh-CN" w:bidi="hi-IN"/>
                    </w:rPr>
                    <w:t>Seminar</w:t>
                  </w:r>
                </w:p>
              </w:tc>
              <w:tc>
                <w:tcPr>
                  <w:tcW w:w="845"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b/>
                      <w:bCs/>
                      <w:sz w:val="14"/>
                      <w:szCs w:val="18"/>
                      <w:lang w:val="en-US" w:eastAsia="zh-CN" w:bidi="hi-IN"/>
                    </w:rPr>
                    <w:t>Other</w:t>
                  </w:r>
                </w:p>
              </w:tc>
              <w:tc>
                <w:tcPr>
                  <w:tcW w:w="8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lineRule="auto" w:line="240" w:before="0" w:after="0"/>
                    <w:jc w:val="center"/>
                    <w:rPr>
                      <w:rFonts w:ascii="Times New Roman" w:hAnsi="Times New Roman" w:eastAsia="Arial Narrow" w:cs="Times New Roman"/>
                      <w:b/>
                      <w:b/>
                      <w:bCs/>
                      <w:sz w:val="14"/>
                      <w:szCs w:val="18"/>
                      <w:lang w:val="en-GB"/>
                    </w:rPr>
                  </w:pPr>
                  <w:r>
                    <w:rPr>
                      <w:rFonts w:cs="Times New Roman" w:ascii="Times New Roman" w:hAnsi="Times New Roman"/>
                      <w:b/>
                      <w:bCs/>
                      <w:sz w:val="14"/>
                      <w:szCs w:val="18"/>
                      <w:lang w:val="en-US" w:eastAsia="zh-CN" w:bidi="hi-IN"/>
                    </w:rPr>
                    <w:t>Total of teaching hours during semester</w:t>
                  </w:r>
                </w:p>
              </w:tc>
            </w:tr>
            <w:tr>
              <w:trPr/>
              <w:tc>
                <w:tcPr>
                  <w:tcW w:w="972"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sz w:val="14"/>
                      <w:szCs w:val="18"/>
                      <w:lang w:val="en-US" w:eastAsia="zh-CN" w:bidi="hi-IN"/>
                    </w:rPr>
                    <w:t>Contact hours</w:t>
                  </w:r>
                </w:p>
              </w:tc>
              <w:tc>
                <w:tcPr>
                  <w:tcW w:w="715"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sz w:val="14"/>
                      <w:szCs w:val="18"/>
                      <w:lang w:val="en-US" w:eastAsia="zh-CN" w:bidi="hi-IN"/>
                    </w:rPr>
                    <w:t>15</w:t>
                  </w:r>
                </w:p>
              </w:tc>
              <w:tc>
                <w:tcPr>
                  <w:tcW w:w="843"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lang w:val="pl-PL" w:eastAsia="zh-CN" w:bidi="hi-IN"/>
                    </w:rPr>
                  </w:pPr>
                  <w:r>
                    <w:rPr>
                      <w:rFonts w:cs="Times New Roman" w:ascii="Times New Roman" w:hAnsi="Times New Roman"/>
                      <w:sz w:val="14"/>
                      <w:szCs w:val="18"/>
                      <w:lang w:val="pl-PL" w:eastAsia="zh-CN" w:bidi="hi-IN"/>
                    </w:rPr>
                  </w:r>
                </w:p>
              </w:tc>
              <w:tc>
                <w:tcPr>
                  <w:tcW w:w="998"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lang w:val="pl-PL" w:eastAsia="zh-CN" w:bidi="hi-IN"/>
                    </w:rPr>
                  </w:pPr>
                  <w:r>
                    <w:rPr>
                      <w:rFonts w:cs="Times New Roman" w:ascii="Times New Roman" w:hAnsi="Times New Roman"/>
                      <w:sz w:val="14"/>
                      <w:szCs w:val="18"/>
                      <w:lang w:val="pl-PL" w:eastAsia="zh-CN" w:bidi="hi-IN"/>
                    </w:rPr>
                  </w:r>
                </w:p>
              </w:tc>
              <w:tc>
                <w:tcPr>
                  <w:tcW w:w="692"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lang w:val="pl-PL" w:eastAsia="zh-CN" w:bidi="hi-IN"/>
                    </w:rPr>
                  </w:pPr>
                  <w:r>
                    <w:rPr>
                      <w:rFonts w:cs="Times New Roman" w:ascii="Times New Roman" w:hAnsi="Times New Roman"/>
                      <w:sz w:val="14"/>
                      <w:szCs w:val="18"/>
                      <w:lang w:val="pl-PL" w:eastAsia="zh-CN" w:bidi="hi-IN"/>
                    </w:rPr>
                  </w:r>
                </w:p>
              </w:tc>
              <w:tc>
                <w:tcPr>
                  <w:tcW w:w="843"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lang w:val="pl-PL" w:eastAsia="zh-CN" w:bidi="hi-IN"/>
                    </w:rPr>
                  </w:pPr>
                  <w:r>
                    <w:rPr>
                      <w:rFonts w:cs="Times New Roman" w:ascii="Times New Roman" w:hAnsi="Times New Roman"/>
                      <w:sz w:val="14"/>
                      <w:szCs w:val="18"/>
                      <w:lang w:val="pl-PL" w:eastAsia="zh-CN" w:bidi="hi-IN"/>
                    </w:rPr>
                  </w:r>
                </w:p>
              </w:tc>
              <w:tc>
                <w:tcPr>
                  <w:tcW w:w="845"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lang w:val="pl-PL" w:eastAsia="zh-CN" w:bidi="hi-IN"/>
                    </w:rPr>
                  </w:pPr>
                  <w:r>
                    <w:rPr>
                      <w:rFonts w:cs="Times New Roman" w:ascii="Times New Roman" w:hAnsi="Times New Roman"/>
                      <w:sz w:val="14"/>
                      <w:szCs w:val="18"/>
                      <w:lang w:val="pl-PL" w:eastAsia="zh-CN" w:bidi="hi-IN"/>
                    </w:rPr>
                  </w:r>
                </w:p>
              </w:tc>
              <w:tc>
                <w:tcPr>
                  <w:tcW w:w="8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lineRule="auto" w:line="240" w:before="0" w:after="0"/>
                    <w:jc w:val="center"/>
                    <w:rPr>
                      <w:rFonts w:ascii="Times New Roman" w:hAnsi="Times New Roman" w:eastAsia="Arial Narrow" w:cs="Times New Roman"/>
                      <w:sz w:val="14"/>
                      <w:szCs w:val="18"/>
                    </w:rPr>
                  </w:pPr>
                  <w:r>
                    <w:rPr>
                      <w:rFonts w:cs="Times New Roman" w:ascii="Times New Roman" w:hAnsi="Times New Roman"/>
                      <w:sz w:val="14"/>
                      <w:szCs w:val="18"/>
                      <w:lang w:val="en-US" w:eastAsia="zh-CN" w:bidi="hi-IN"/>
                    </w:rPr>
                    <w:t>15</w:t>
                  </w:r>
                </w:p>
              </w:tc>
            </w:tr>
            <w:tr>
              <w:trPr/>
              <w:tc>
                <w:tcPr>
                  <w:tcW w:w="972"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sz w:val="14"/>
                      <w:szCs w:val="18"/>
                      <w:lang w:val="en-US" w:eastAsia="zh-CN" w:bidi="hi-IN"/>
                    </w:rPr>
                    <w:t>E-learning</w:t>
                  </w:r>
                </w:p>
              </w:tc>
              <w:tc>
                <w:tcPr>
                  <w:tcW w:w="715"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sz w:val="14"/>
                      <w:szCs w:val="18"/>
                      <w:lang w:val="en-US" w:eastAsia="zh-CN" w:bidi="hi-IN"/>
                    </w:rPr>
                    <w:t>No</w:t>
                  </w:r>
                </w:p>
              </w:tc>
              <w:tc>
                <w:tcPr>
                  <w:tcW w:w="843"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sz w:val="14"/>
                      <w:szCs w:val="18"/>
                      <w:lang w:val="en-US" w:eastAsia="zh-CN" w:bidi="hi-IN"/>
                    </w:rPr>
                    <w:t>No</w:t>
                  </w:r>
                </w:p>
              </w:tc>
              <w:tc>
                <w:tcPr>
                  <w:tcW w:w="998"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sz w:val="14"/>
                      <w:szCs w:val="18"/>
                      <w:lang w:val="en-US" w:eastAsia="zh-CN" w:bidi="hi-IN"/>
                    </w:rPr>
                    <w:t>No</w:t>
                  </w:r>
                </w:p>
              </w:tc>
              <w:tc>
                <w:tcPr>
                  <w:tcW w:w="692"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sz w:val="14"/>
                      <w:szCs w:val="18"/>
                      <w:lang w:val="en-US" w:eastAsia="zh-CN" w:bidi="hi-IN"/>
                    </w:rPr>
                    <w:t>No</w:t>
                  </w:r>
                </w:p>
              </w:tc>
              <w:tc>
                <w:tcPr>
                  <w:tcW w:w="843"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sz w:val="14"/>
                      <w:szCs w:val="18"/>
                      <w:lang w:val="en-US" w:eastAsia="zh-CN" w:bidi="hi-IN"/>
                    </w:rPr>
                    <w:t>No</w:t>
                  </w:r>
                </w:p>
              </w:tc>
              <w:tc>
                <w:tcPr>
                  <w:tcW w:w="845"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sz w:val="14"/>
                      <w:szCs w:val="18"/>
                      <w:lang w:val="en-US" w:eastAsia="zh-CN" w:bidi="hi-IN"/>
                    </w:rPr>
                    <w:t>No</w:t>
                  </w:r>
                </w:p>
              </w:tc>
              <w:tc>
                <w:tcPr>
                  <w:tcW w:w="8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lineRule="auto" w:line="240" w:before="0" w:after="0"/>
                    <w:jc w:val="center"/>
                    <w:rPr>
                      <w:rFonts w:ascii="Times New Roman" w:hAnsi="Times New Roman" w:eastAsia="Arial Narrow" w:cs="Times New Roman"/>
                      <w:sz w:val="14"/>
                      <w:szCs w:val="18"/>
                      <w:lang w:val="pl-PL" w:eastAsia="zh-CN" w:bidi="hi-IN"/>
                    </w:rPr>
                  </w:pPr>
                  <w:r>
                    <w:rPr>
                      <w:rFonts w:eastAsia="Arial Narrow" w:cs="Times New Roman" w:ascii="Times New Roman" w:hAnsi="Times New Roman"/>
                      <w:sz w:val="14"/>
                      <w:szCs w:val="18"/>
                      <w:lang w:val="pl-PL" w:eastAsia="zh-CN" w:bidi="hi-IN"/>
                    </w:rPr>
                  </w:r>
                </w:p>
              </w:tc>
            </w:tr>
            <w:tr>
              <w:trPr/>
              <w:tc>
                <w:tcPr>
                  <w:tcW w:w="972"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sz w:val="14"/>
                      <w:szCs w:val="18"/>
                      <w:shd w:fill="EEEEEE" w:val="clear"/>
                      <w:lang w:val="en-US" w:eastAsia="zh-CN" w:bidi="hi-IN"/>
                    </w:rPr>
                    <w:t>Assessment criteria (weightage)</w:t>
                  </w:r>
                </w:p>
              </w:tc>
              <w:tc>
                <w:tcPr>
                  <w:tcW w:w="715"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rPr>
                  </w:pPr>
                  <w:r>
                    <w:rPr>
                      <w:rFonts w:cs="Times New Roman" w:ascii="Times New Roman" w:hAnsi="Times New Roman"/>
                      <w:sz w:val="14"/>
                      <w:szCs w:val="18"/>
                      <w:lang w:val="en-US" w:eastAsia="zh-CN" w:bidi="hi-IN"/>
                    </w:rPr>
                    <w:t>100%</w:t>
                  </w:r>
                </w:p>
              </w:tc>
              <w:tc>
                <w:tcPr>
                  <w:tcW w:w="843"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lang w:val="pl-PL" w:eastAsia="zh-CN" w:bidi="hi-IN"/>
                    </w:rPr>
                  </w:pPr>
                  <w:r>
                    <w:rPr>
                      <w:rFonts w:cs="Times New Roman" w:ascii="Times New Roman" w:hAnsi="Times New Roman"/>
                      <w:sz w:val="14"/>
                      <w:szCs w:val="18"/>
                      <w:lang w:val="pl-PL" w:eastAsia="zh-CN" w:bidi="hi-IN"/>
                    </w:rPr>
                  </w:r>
                </w:p>
              </w:tc>
              <w:tc>
                <w:tcPr>
                  <w:tcW w:w="998"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lang w:val="pl-PL" w:eastAsia="zh-CN" w:bidi="hi-IN"/>
                    </w:rPr>
                  </w:pPr>
                  <w:r>
                    <w:rPr>
                      <w:rFonts w:cs="Times New Roman" w:ascii="Times New Roman" w:hAnsi="Times New Roman"/>
                      <w:sz w:val="14"/>
                      <w:szCs w:val="18"/>
                      <w:lang w:val="pl-PL" w:eastAsia="zh-CN" w:bidi="hi-IN"/>
                    </w:rPr>
                  </w:r>
                </w:p>
              </w:tc>
              <w:tc>
                <w:tcPr>
                  <w:tcW w:w="692"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lang w:val="pl-PL" w:eastAsia="zh-CN" w:bidi="hi-IN"/>
                    </w:rPr>
                  </w:pPr>
                  <w:r>
                    <w:rPr>
                      <w:rFonts w:cs="Times New Roman" w:ascii="Times New Roman" w:hAnsi="Times New Roman"/>
                      <w:sz w:val="14"/>
                      <w:szCs w:val="18"/>
                      <w:lang w:val="pl-PL" w:eastAsia="zh-CN" w:bidi="hi-IN"/>
                    </w:rPr>
                  </w:r>
                </w:p>
              </w:tc>
              <w:tc>
                <w:tcPr>
                  <w:tcW w:w="843"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lang w:val="pl-PL" w:eastAsia="zh-CN" w:bidi="hi-IN"/>
                    </w:rPr>
                  </w:pPr>
                  <w:r>
                    <w:rPr>
                      <w:rFonts w:cs="Times New Roman" w:ascii="Times New Roman" w:hAnsi="Times New Roman"/>
                      <w:sz w:val="14"/>
                      <w:szCs w:val="18"/>
                      <w:lang w:val="pl-PL" w:eastAsia="zh-CN" w:bidi="hi-IN"/>
                    </w:rPr>
                  </w:r>
                </w:p>
              </w:tc>
              <w:tc>
                <w:tcPr>
                  <w:tcW w:w="845"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lang w:val="pl-PL" w:eastAsia="zh-CN" w:bidi="hi-IN"/>
                    </w:rPr>
                  </w:pPr>
                  <w:r>
                    <w:rPr>
                      <w:rFonts w:cs="Times New Roman" w:ascii="Times New Roman" w:hAnsi="Times New Roman"/>
                      <w:sz w:val="14"/>
                      <w:szCs w:val="18"/>
                      <w:lang w:val="pl-PL" w:eastAsia="zh-CN" w:bidi="hi-IN"/>
                    </w:rPr>
                  </w:r>
                </w:p>
              </w:tc>
              <w:tc>
                <w:tcPr>
                  <w:tcW w:w="8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Normal"/>
                    <w:spacing w:lineRule="auto" w:line="240" w:before="0" w:after="0"/>
                    <w:jc w:val="center"/>
                    <w:rPr>
                      <w:rFonts w:ascii="Times New Roman" w:hAnsi="Times New Roman" w:cs="Times New Roman"/>
                      <w:sz w:val="14"/>
                      <w:szCs w:val="18"/>
                      <w:lang w:val="pl-PL" w:eastAsia="zh-CN" w:bidi="hi-IN"/>
                    </w:rPr>
                  </w:pPr>
                  <w:r>
                    <w:rPr>
                      <w:rFonts w:cs="Times New Roman" w:ascii="Times New Roman" w:hAnsi="Times New Roman"/>
                      <w:sz w:val="14"/>
                      <w:szCs w:val="18"/>
                      <w:lang w:val="pl-PL" w:eastAsia="zh-CN" w:bidi="hi-IN"/>
                    </w:rPr>
                  </w:r>
                </w:p>
              </w:tc>
            </w:tr>
          </w:tbl>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 xml:space="preserve"> </w:t>
            </w:r>
          </w:p>
        </w:tc>
      </w:tr>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Course objective</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sz w:val="18"/>
                <w:szCs w:val="18"/>
              </w:rPr>
              <w:t xml:space="preserve">Exposing PhD students to current trends in physical sciences related to their research work. </w:t>
            </w:r>
          </w:p>
        </w:tc>
      </w:tr>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Learning outcomes</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sz w:val="18"/>
                <w:szCs w:val="18"/>
              </w:rPr>
              <w:t xml:space="preserve">A PhD student acquires knowledge at advanced level and learns about recent achievements in the physical sciences related to their field of research. </w:t>
            </w:r>
          </w:p>
        </w:tc>
      </w:tr>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Assessment methods</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sz w:val="18"/>
                <w:szCs w:val="18"/>
              </w:rPr>
              <w:t xml:space="preserve">Take-home exam. </w:t>
            </w:r>
          </w:p>
        </w:tc>
      </w:tr>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Prerequisites</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sz w:val="18"/>
                <w:szCs w:val="18"/>
              </w:rPr>
              <w:t>Completed university-level physics and mathematics courses.</w:t>
            </w:r>
          </w:p>
        </w:tc>
      </w:tr>
      <w:tr>
        <w:trPr>
          <w:trHeight w:val="44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Course content with delivery methods</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sz w:val="18"/>
                <w:szCs w:val="18"/>
              </w:rPr>
              <w:t>The semester-long course content includes selected topics (to be decided by the lecturer) in one of the following fields:</w:t>
            </w:r>
          </w:p>
          <w:p>
            <w:pPr>
              <w:pStyle w:val="ListParagraph"/>
              <w:numPr>
                <w:ilvl w:val="0"/>
                <w:numId w:val="1"/>
              </w:numPr>
              <w:spacing w:before="0" w:after="0"/>
              <w:rPr>
                <w:rFonts w:ascii="Times New Roman" w:hAnsi="Times New Roman" w:cs="Times New Roman"/>
                <w:sz w:val="18"/>
                <w:szCs w:val="18"/>
              </w:rPr>
            </w:pPr>
            <w:r>
              <w:rPr>
                <w:rFonts w:cs="Times New Roman" w:ascii="Times New Roman" w:hAnsi="Times New Roman"/>
                <w:sz w:val="18"/>
                <w:szCs w:val="18"/>
              </w:rPr>
              <w:t>advanced quantum mechanics</w:t>
            </w:r>
          </w:p>
          <w:p>
            <w:pPr>
              <w:pStyle w:val="ListParagraph"/>
              <w:numPr>
                <w:ilvl w:val="0"/>
                <w:numId w:val="1"/>
              </w:numPr>
              <w:spacing w:before="0" w:after="0"/>
              <w:rPr>
                <w:rFonts w:ascii="Times New Roman" w:hAnsi="Times New Roman" w:cs="Times New Roman"/>
                <w:sz w:val="18"/>
                <w:szCs w:val="18"/>
              </w:rPr>
            </w:pPr>
            <w:r>
              <w:rPr>
                <w:rFonts w:cs="Times New Roman" w:ascii="Times New Roman" w:hAnsi="Times New Roman"/>
                <w:sz w:val="18"/>
                <w:szCs w:val="18"/>
              </w:rPr>
              <w:t>many-electron physics</w:t>
            </w:r>
          </w:p>
          <w:p>
            <w:pPr>
              <w:pStyle w:val="ListParagraph"/>
              <w:numPr>
                <w:ilvl w:val="0"/>
                <w:numId w:val="1"/>
              </w:numPr>
              <w:spacing w:before="0" w:after="0"/>
              <w:rPr>
                <w:rFonts w:ascii="Times New Roman" w:hAnsi="Times New Roman" w:cs="Times New Roman"/>
                <w:sz w:val="18"/>
                <w:szCs w:val="18"/>
              </w:rPr>
            </w:pPr>
            <w:r>
              <w:rPr>
                <w:rFonts w:cs="Times New Roman" w:ascii="Times New Roman" w:hAnsi="Times New Roman"/>
                <w:sz w:val="18"/>
                <w:szCs w:val="18"/>
              </w:rPr>
              <w:t>advanced crystal physics</w:t>
            </w:r>
          </w:p>
          <w:p>
            <w:pPr>
              <w:pStyle w:val="ListParagraph"/>
              <w:numPr>
                <w:ilvl w:val="0"/>
                <w:numId w:val="1"/>
              </w:numPr>
              <w:spacing w:before="0" w:after="0"/>
              <w:rPr>
                <w:rFonts w:ascii="Times New Roman" w:hAnsi="Times New Roman" w:cs="Times New Roman"/>
                <w:sz w:val="18"/>
                <w:szCs w:val="18"/>
              </w:rPr>
            </w:pPr>
            <w:r>
              <w:rPr>
                <w:rFonts w:cs="Times New Roman" w:ascii="Times New Roman" w:hAnsi="Times New Roman"/>
                <w:sz w:val="18"/>
                <w:szCs w:val="18"/>
              </w:rPr>
              <w:t>advanced photonics</w:t>
            </w:r>
          </w:p>
          <w:p>
            <w:pPr>
              <w:pStyle w:val="ListParagraph"/>
              <w:numPr>
                <w:ilvl w:val="0"/>
                <w:numId w:val="1"/>
              </w:numPr>
              <w:spacing w:before="0" w:after="0"/>
              <w:rPr>
                <w:rFonts w:ascii="Times New Roman" w:hAnsi="Times New Roman" w:cs="Times New Roman"/>
                <w:sz w:val="18"/>
                <w:szCs w:val="18"/>
              </w:rPr>
            </w:pPr>
            <w:r>
              <w:rPr>
                <w:rFonts w:cs="Times New Roman" w:ascii="Times New Roman" w:hAnsi="Times New Roman"/>
                <w:sz w:val="18"/>
                <w:szCs w:val="18"/>
              </w:rPr>
              <w:t>advanced liquid crystal physics</w:t>
            </w:r>
          </w:p>
          <w:p>
            <w:pPr>
              <w:pStyle w:val="ListParagraph"/>
              <w:numPr>
                <w:ilvl w:val="0"/>
                <w:numId w:val="1"/>
              </w:numPr>
              <w:spacing w:before="0" w:after="0"/>
              <w:rPr>
                <w:rFonts w:ascii="Times New Roman" w:hAnsi="Times New Roman" w:cs="Times New Roman"/>
                <w:sz w:val="18"/>
                <w:szCs w:val="18"/>
              </w:rPr>
            </w:pPr>
            <w:r>
              <w:rPr>
                <w:rFonts w:cs="Times New Roman" w:ascii="Times New Roman" w:hAnsi="Times New Roman"/>
                <w:sz w:val="18"/>
                <w:szCs w:val="18"/>
              </w:rPr>
              <w:t>nonlinear optics</w:t>
            </w:r>
          </w:p>
        </w:tc>
      </w:tr>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Basic reference materials</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bCs/>
                <w:sz w:val="18"/>
                <w:szCs w:val="18"/>
              </w:rPr>
            </w:pPr>
            <w:r>
              <w:rPr>
                <w:rFonts w:cs="Times New Roman" w:ascii="Times New Roman" w:hAnsi="Times New Roman"/>
                <w:bCs/>
                <w:sz w:val="18"/>
                <w:szCs w:val="18"/>
              </w:rPr>
              <w:t xml:space="preserve">Scientific papers and monographs recommended by a lecturer. </w:t>
            </w:r>
          </w:p>
        </w:tc>
      </w:tr>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Other reference materials</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sz w:val="18"/>
                <w:szCs w:val="18"/>
              </w:rPr>
              <w:t xml:space="preserve">Scientific papers. </w:t>
            </w:r>
          </w:p>
        </w:tc>
      </w:tr>
      <w:tr>
        <w:trPr>
          <w:trHeight w:val="44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Average student workload outside classroom</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sz w:val="18"/>
                <w:szCs w:val="18"/>
              </w:rPr>
              <w:t xml:space="preserve">20h </w:t>
            </w:r>
          </w:p>
        </w:tc>
      </w:tr>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Comments</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sz w:val="18"/>
                <w:szCs w:val="18"/>
              </w:rPr>
            </w:r>
          </w:p>
        </w:tc>
      </w:tr>
      <w:tr>
        <w:trPr>
          <w:trHeight w:val="210" w:hRule="atLeast"/>
        </w:trPr>
        <w:tc>
          <w:tcPr>
            <w:tcW w:w="2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Last update</w:t>
            </w:r>
          </w:p>
        </w:tc>
        <w:tc>
          <w:tcPr>
            <w:tcW w:w="6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sz w:val="18"/>
                <w:szCs w:val="18"/>
              </w:rPr>
              <w:t>24.04.2019</w:t>
            </w:r>
          </w:p>
        </w:tc>
      </w:tr>
    </w:tbl>
    <w:p>
      <w:pPr>
        <w:pStyle w:val="Normal"/>
        <w:widowControl w:val="false"/>
        <w:spacing w:lineRule="auto" w:line="240" w:before="0" w:after="0"/>
        <w:rPr/>
      </w:pPr>
      <w: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Liberation Sans">
    <w:altName w:val="Arial"/>
    <w:charset w:val="ee"/>
    <w:family w:val="swiss"/>
    <w:pitch w:val="variable"/>
  </w:font>
  <w:font w:name="Helvetica Neue">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i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istop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isplayBackgroundShape/>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pBdr/>
      <w:bidi w:val="0"/>
      <w:spacing w:lineRule="auto" w:line="276" w:before="0" w:after="200"/>
      <w:jc w:val="left"/>
    </w:pPr>
    <w:rPr>
      <w:rFonts w:ascii="Calibri" w:hAnsi="Calibri" w:eastAsia="Calibri" w:cs="Calibri"/>
      <w:color w:val="000000"/>
      <w:sz w:val="22"/>
      <w:szCs w:val="22"/>
      <w:u w:val="none" w:color="000000"/>
      <w:lang w:val="en-US" w:eastAsia="en-US" w:bidi="ar-SA"/>
    </w:rPr>
  </w:style>
  <w:style w:type="character" w:styleId="DefaultParagraphFont" w:default="1">
    <w:name w:val="Default Paragraph Font"/>
    <w:uiPriority w:val="1"/>
    <w:semiHidden/>
    <w:unhideWhenUsed/>
    <w:qFormat/>
    <w:rPr/>
  </w:style>
  <w:style w:type="character" w:styleId="Czeinternetowe">
    <w:name w:val="Łącze internetowe"/>
    <w:rPr>
      <w:u w:val="single"/>
    </w:rPr>
  </w:style>
  <w:style w:type="character" w:styleId="NagwekZnak" w:customStyle="1">
    <w:name w:val="Nagłówek Znak"/>
    <w:basedOn w:val="DefaultParagraphFont"/>
    <w:link w:val="Nagwek"/>
    <w:uiPriority w:val="99"/>
    <w:qFormat/>
    <w:rsid w:val="00026672"/>
    <w:rPr>
      <w:rFonts w:ascii="Calibri" w:hAnsi="Calibri" w:eastAsia="Calibri" w:cs="Calibri"/>
      <w:color w:val="000000"/>
      <w:sz w:val="22"/>
      <w:szCs w:val="22"/>
      <w:u w:val="none" w:color="000000"/>
    </w:rPr>
  </w:style>
  <w:style w:type="character" w:styleId="StopkaZnak" w:customStyle="1">
    <w:name w:val="Stopka Znak"/>
    <w:basedOn w:val="DefaultParagraphFont"/>
    <w:link w:val="Stopka"/>
    <w:uiPriority w:val="99"/>
    <w:qFormat/>
    <w:rsid w:val="00026672"/>
    <w:rPr>
      <w:rFonts w:ascii="Calibri" w:hAnsi="Calibri" w:eastAsia="Calibri" w:cs="Calibri"/>
      <w:color w:val="000000"/>
      <w:sz w:val="22"/>
      <w:szCs w:val="22"/>
      <w:u w:val="none" w:color="00000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agwekistopka" w:customStyle="1">
    <w:name w:val="Nagłówek i stopka"/>
    <w:qFormat/>
    <w:pPr>
      <w:widowControl/>
      <w:tabs>
        <w:tab w:val="right" w:pos="9020" w:leader="none"/>
      </w:tabs>
      <w:bidi w:val="0"/>
      <w:jc w:val="left"/>
    </w:pPr>
    <w:rPr>
      <w:rFonts w:ascii="Helvetica Neue" w:hAnsi="Helvetica Neue" w:cs="Arial Unicode MS" w:eastAsia="Arial Unicode MS"/>
      <w:color w:val="000000"/>
      <w:sz w:val="24"/>
      <w:szCs w:val="24"/>
      <w:lang w:val="en-US" w:eastAsia="en-US" w:bidi="ar-SA"/>
    </w:rPr>
  </w:style>
  <w:style w:type="paragraph" w:styleId="Gwka">
    <w:name w:val="Header"/>
    <w:basedOn w:val="Normal"/>
    <w:link w:val="NagwekZnak"/>
    <w:uiPriority w:val="99"/>
    <w:unhideWhenUsed/>
    <w:rsid w:val="00026672"/>
    <w:pPr>
      <w:tabs>
        <w:tab w:val="center" w:pos="4680" w:leader="none"/>
        <w:tab w:val="right" w:pos="9360" w:leader="none"/>
      </w:tabs>
      <w:spacing w:lineRule="auto" w:line="240" w:before="0" w:after="0"/>
    </w:pPr>
    <w:rPr/>
  </w:style>
  <w:style w:type="paragraph" w:styleId="Stopka">
    <w:name w:val="Footer"/>
    <w:basedOn w:val="Normal"/>
    <w:link w:val="StopkaZnak"/>
    <w:uiPriority w:val="99"/>
    <w:unhideWhenUsed/>
    <w:rsid w:val="00026672"/>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2274dd"/>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252aa0"/>
    <w:rPr>
      <w:lang w:val="pl-PL" w:eastAsia="zh-CN" w:bidi="hi-IN"/>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ArrayOfDocumentLink xmlns:xsi="http://www.w3.org/2001/XMLSchema-instance" xmlns:xsd="http://www.w3.org/2001/XMLSchema"/>
</file>

<file path=customXml/itemProps1.xml><?xml version="1.0" encoding="utf-8"?>
<ds:datastoreItem xmlns:ds="http://schemas.openxmlformats.org/officeDocument/2006/customXml" ds:itemID="{F1505244-6581-4151-817A-7BE41A65DE0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LibreOffice/5.3.0.3$Windows_x86 LibreOffice_project/7074905676c47b82bbcfbea1aeefc84afe1c50e1</Application>
  <Pages>1</Pages>
  <Words>251</Words>
  <Characters>1490</Characters>
  <CharactersWithSpaces>1680</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2019-04-24T20:00:00Z</dcterms:created>
  <dc:creator/>
  <dc:description/>
  <dc:language>pl-PL</dc:language>
  <cp:lastModifiedBy>Małgorzata Kupczyńska</cp:lastModifiedBy>
  <dcterms:modified xsi:type="dcterms:W3CDTF">2019-05-24T16:43:00Z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