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1010" w:type="dxa"/>
        <w:jc w:val="left"/>
        <w:tblInd w:w="-55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0"/>
      </w:tblGrid>
      <w:tr>
        <w:trPr/>
        <w:tc>
          <w:tcPr>
            <w:tcW w:w="1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RUSZYŁ KONKURS  2/4.1.4/2019 – PROJEKTY APLIKACYJNE</w:t>
            </w:r>
          </w:p>
        </w:tc>
      </w:tr>
      <w:tr>
        <w:trPr/>
        <w:tc>
          <w:tcPr>
            <w:tcW w:w="1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 xml:space="preserve">Narodowe Centrum Badań i Rozwoju ogłosiło konkurs </w:t>
            </w:r>
            <w:r>
              <w:rPr>
                <w:rFonts w:cs="Times New Roman" w:ascii="Times New Roman" w:hAnsi="Times New Roman"/>
                <w:b/>
                <w:bCs/>
                <w:shd w:fill="FFFFFF" w:val="clear"/>
              </w:rPr>
              <w:t xml:space="preserve">w ramach Programu Operacyjnego Inteligentny Rozwój „4.1.4 – Projekty aplikacyjne”. Wnioski </w:t>
              <w:br/>
              <w:t xml:space="preserve">o dofinansowanie można składać od  </w:t>
            </w:r>
            <w:r>
              <w:rPr>
                <w:rFonts w:cs="Times New Roman" w:ascii="Times New Roman" w:hAnsi="Times New Roman"/>
                <w:b/>
              </w:rPr>
              <w:t xml:space="preserve">3 lutego 2020 do 3 kwietnia 2020 r. (do godziny 16:00). Konkurs </w:t>
            </w:r>
            <w:r>
              <w:rPr>
                <w:rFonts w:cs="Times New Roman" w:ascii="Times New Roman" w:hAnsi="Times New Roman"/>
                <w:b/>
                <w:u w:val="single"/>
              </w:rPr>
              <w:t>nie jest</w:t>
            </w:r>
            <w:r>
              <w:rPr>
                <w:rFonts w:cs="Times New Roman" w:ascii="Times New Roman" w:hAnsi="Times New Roman"/>
                <w:b/>
              </w:rPr>
              <w:t xml:space="preserve"> podzielony na rundy.</w:t>
            </w:r>
          </w:p>
        </w:tc>
      </w:tr>
      <w:tr>
        <w:trPr/>
        <w:tc>
          <w:tcPr>
            <w:tcW w:w="1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tLeast" w:line="336" w:beforeAutospacing="0" w:before="0" w:afterAutospacing="0" w:after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3428" w:hRule="atLeast"/>
        </w:trPr>
        <w:tc>
          <w:tcPr>
            <w:tcW w:w="1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50"/>
              <w:jc w:val="both"/>
              <w:rPr>
                <w:rFonts w:ascii="Times New Roman" w:hAnsi="Times New Roman" w:eastAsia="Times New Roman" w:cs="Times New Roman"/>
                <w:b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pl-PL"/>
              </w:rPr>
              <w:t xml:space="preserve">Konkurs skierowany jest do: </w:t>
            </w:r>
          </w:p>
          <w:p>
            <w:pPr>
              <w:pStyle w:val="Normal"/>
              <w:spacing w:beforeAutospacing="1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konsorcjów naukowo-przemysłowych składających się z max. 5 podmiotów,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w tym: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ind w:left="43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skład konsorcjum musi wchodzić co najmniej jedno przedsiębiorstwo i co najmniej jedna jednostka naukowa,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ind w:left="43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Liderem konsorcjum może być jednostka naukowa lub przedsiębiorstwo,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ind w:left="43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przedsiębiorstwa wchodzące w skład konsorcjum muszą być zarejestrowane i prowadzić działalność na terytorium Rzeczypospolitej Polskiej.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Zakres tematyczny:</w:t>
            </w:r>
          </w:p>
          <w:p>
            <w:pPr>
              <w:pStyle w:val="Normal"/>
              <w:spacing w:lineRule="auto" w:line="360" w:beforeAutospacing="1" w:after="16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Celem konkursu jest wyłonienie do dofinansowania projektów, które w największym stopniu przyczynią się do osiągnięcia celów PO IR i celów Poddziałania, określonych w Szczegółowym Opisie Osi Priorytetowych PO IR.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Autospacing="1" w:afterAutospacing="1"/>
              <w:ind w:left="43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obejmują badania przemysłowe  i  eksperymentalne  prace  rozwojowe albo eksperymentalne prace rozwojowe.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Autospacing="1" w:afterAutospacing="1"/>
              <w:ind w:left="43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mogą obejmować również prace przedwdrożeniowe.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Budżet konkursu: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Środki przeznaczone na dofinansowanie realizacji projektów wyłonionych w konkursie wynoszą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150 000 000 PLN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(wyłącznie z kategorii regionów słabiej rozwiniętych)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Zasady finansowania projektów: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Minimalna wartość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kosztów kwalifikowalnych projektu wynosi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mln PLN.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Maksymalna wartość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dofinansowania wynosi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 mln euro.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Poziom dofinansowania: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tbl>
            <w:tblPr>
              <w:tblStyle w:val="Tabela-Siatka"/>
              <w:tblW w:w="9472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363"/>
              <w:gridCol w:w="1311"/>
              <w:gridCol w:w="1570"/>
              <w:gridCol w:w="1120"/>
              <w:gridCol w:w="1570"/>
              <w:gridCol w:w="1268"/>
              <w:gridCol w:w="1269"/>
            </w:tblGrid>
            <w:tr>
              <w:trPr>
                <w:trHeight w:val="106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Status przedsięb.</w:t>
                  </w:r>
                </w:p>
              </w:tc>
              <w:tc>
                <w:tcPr>
                  <w:tcW w:w="1311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badania przemysł.</w:t>
                  </w:r>
                </w:p>
              </w:tc>
              <w:tc>
                <w:tcPr>
                  <w:tcW w:w="1570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badania przemysł. z uwzględnieniem premii</w:t>
                  </w:r>
                </w:p>
              </w:tc>
              <w:tc>
                <w:tcPr>
                  <w:tcW w:w="1120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rozwojowe</w:t>
                  </w:r>
                </w:p>
              </w:tc>
              <w:tc>
                <w:tcPr>
                  <w:tcW w:w="1570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rozwojowe z uwzględnieniem premii</w:t>
                  </w:r>
                </w:p>
              </w:tc>
              <w:tc>
                <w:tcPr>
                  <w:tcW w:w="1268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przedwdroż. – de minimis</w:t>
                  </w:r>
                </w:p>
              </w:tc>
              <w:tc>
                <w:tcPr>
                  <w:tcW w:w="1269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na prace przedwdrożusługi doradcze dla MŚP</w:t>
                  </w:r>
                </w:p>
              </w:tc>
            </w:tr>
            <w:tr>
              <w:trPr>
                <w:trHeight w:val="26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13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26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6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</w:tr>
            <w:tr>
              <w:trPr>
                <w:trHeight w:val="26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Małe </w:t>
                  </w:r>
                </w:p>
              </w:tc>
              <w:tc>
                <w:tcPr>
                  <w:tcW w:w="13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26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6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</w:tr>
            <w:tr>
              <w:trPr>
                <w:trHeight w:val="26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13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26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6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Duże przedsiębiorstwo</w:t>
                  </w:r>
                </w:p>
              </w:tc>
              <w:tc>
                <w:tcPr>
                  <w:tcW w:w="13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26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6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</w:tr>
            <w:tr>
              <w:trPr>
                <w:trHeight w:val="54" w:hRule="atLeast"/>
              </w:trPr>
              <w:tc>
                <w:tcPr>
                  <w:tcW w:w="1363" w:type="dxa"/>
                  <w:tcBorders/>
                  <w:shd w:color="auto" w:fill="DEEAF6" w:themeFill="accent1" w:themeFillTint="33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</w:rPr>
                    <w:t>Jednostka naukowa</w:t>
                  </w:r>
                </w:p>
              </w:tc>
              <w:tc>
                <w:tcPr>
                  <w:tcW w:w="13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2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57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26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26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nd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Poziom dofinansowania dla jednostek naukowych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 realizację badań podstawowych, badań przemysłowych i prac rozwojowych wynosi do 100% kosztów kwalifikowalnych, w przypadku gdy projekt jest realizowany w ramach ich działalności niegospodarczej. Jednostki naukowe nie mogą ubiegać się o dofinansowanie prac przedwdrożeniowych.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Inne ważne informacje: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4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Projekt musi obejmować eksperymentalne prace rozwojowe,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4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Projekt musi być realizowany poza województwem mazowieckim,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4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Prace przedwdrożeniowe – maksymalnie 20% kosztów kwalifikowalnych projektu,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ind w:left="413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Limity podwykonawstwa dla badań przemysłowych  i prac rozwojowych: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dla przedsiębiorstw: 50% kosztów kwalifikowalnych;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dla jednostek naukowych: 10% kosztów kwalifikowalnych badań przemysłowych i prac rozwojowych;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70% całkowitych kosztów kwalifikowalnych prac przedwdrożeniowych w ramach pomocy de minimisponoszonych przez dane przedsiębiorstwo.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Nabór wniosków o dofinansowanie odbywa się 3 lutego 2020 r. – 3 kwietnia 2020 r.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(do godziny 16.00).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Wniosek o dofinansowanie należy przygotować zgodnie z Instrukcją wypełniania wniosku </w:t>
              <w:br/>
              <w:t xml:space="preserve">o dofinansowanie.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Formularz wniosku należy złożyć wyłącznie przy użyciu Generatora Wniosków w systemie informatycznym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a796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3">
    <w:name w:val="Heading 3"/>
    <w:basedOn w:val="Normal"/>
    <w:link w:val="Nagwek3Znak"/>
    <w:uiPriority w:val="9"/>
    <w:qFormat/>
    <w:rsid w:val="007757f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757fb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7757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57fb"/>
    <w:rPr>
      <w:b/>
      <w:bCs/>
    </w:rPr>
  </w:style>
  <w:style w:type="character" w:styleId="Wyrnienie">
    <w:name w:val="Wyróżnienie"/>
    <w:basedOn w:val="DefaultParagraphFont"/>
    <w:uiPriority w:val="20"/>
    <w:qFormat/>
    <w:rsid w:val="007967fc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6f31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a796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757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a358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6f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57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2</Pages>
  <Words>409</Words>
  <Characters>2667</Characters>
  <CharactersWithSpaces>3017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2019-12-10T13:29:00Z</dcterms:created>
  <dc:creator>Agnieszka Stożek</dc:creator>
  <dc:description/>
  <dc:language>pl-PL</dc:language>
  <cp:lastModifiedBy/>
  <cp:lastPrinted>2019-08-20T11:49:00Z</cp:lastPrinted>
  <dcterms:modified xsi:type="dcterms:W3CDTF">2019-12-10T15:03:38Z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