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CC2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CC2 - core curriculum for food technology and nutrition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Arial Narrow" w:hAnsi="Arial Narrow"/>
                <w:sz w:val="18"/>
                <w:szCs w:val="18"/>
                <w:lang w:val="en-US"/>
              </w:rPr>
              <w:t>Phytocompounds as bioactive food ingredients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Arial Narrow" w:hAnsi="Arial Narrow"/>
                <w:sz w:val="18"/>
                <w:szCs w:val="18"/>
                <w:lang w:val="pl-PL"/>
              </w:rPr>
              <w:t>Fitozwiązki jako bioaktywne składniki żywności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Dr hab. inż. Anna Podsędek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Dr inż. Małgorzata Redzynia, Dr inż. Małgorzata Zakłos-Szyda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149"/>
              <w:gridCol w:w="748"/>
              <w:gridCol w:w="785"/>
              <w:gridCol w:w="915"/>
              <w:gridCol w:w="743"/>
              <w:gridCol w:w="810"/>
              <w:gridCol w:w="723"/>
              <w:gridCol w:w="804"/>
            </w:tblGrid>
            <w:tr>
              <w:trPr>
                <w:tblHeader w:val="true"/>
              </w:trPr>
              <w:tc>
                <w:tcPr>
                  <w:tcW w:w="1149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4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8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91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81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0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149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Contacthours</w:t>
                  </w:r>
                </w:p>
              </w:tc>
              <w:tc>
                <w:tcPr>
                  <w:tcW w:w="74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8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1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1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149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4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8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91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0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149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Calibri"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Assessmentcriteria (weightage)</w:t>
                  </w:r>
                </w:p>
              </w:tc>
              <w:tc>
                <w:tcPr>
                  <w:tcW w:w="74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8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1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100,00</w:t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1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212121"/>
                <w:sz w:val="18"/>
                <w:szCs w:val="18"/>
                <w:lang w:val="en-US"/>
              </w:rPr>
              <w:t xml:space="preserve">Students’ acquaintance with the methods of analysis of the composition of phytochemicals and their pro-health activity by </w:t>
            </w:r>
            <w:r>
              <w:rPr>
                <w:rFonts w:ascii="Arial Narrow" w:hAnsi="Arial Narrow"/>
                <w:i/>
                <w:color w:val="212121"/>
                <w:sz w:val="18"/>
                <w:szCs w:val="18"/>
                <w:lang w:val="en-US"/>
              </w:rPr>
              <w:t>in vitro</w:t>
            </w:r>
            <w:r>
              <w:rPr>
                <w:rFonts w:ascii="Arial Narrow" w:hAnsi="Arial Narrow"/>
                <w:color w:val="212121"/>
                <w:sz w:val="18"/>
                <w:szCs w:val="18"/>
                <w:lang w:val="en-US"/>
              </w:rPr>
              <w:t xml:space="preserve"> methods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After completing the course, a PhD student is able to</w:t>
            </w:r>
          </w:p>
          <w:p>
            <w:pPr>
              <w:pStyle w:val="Normal"/>
              <w:shd w:val="clear" w:color="auto" w:fill="FFFFFF"/>
              <w:spacing w:lineRule="exact" w:line="274" w:before="0" w:after="0"/>
              <w:ind w:left="-25" w:hanging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1. prepare extracts of phenolic compounds, antioxidant vitamins, and pigments from plant material,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characterize the qualitative and quantitative composition of phytochemicals by chromatographic methods,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determine the antioxidative potential by various methods,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link biological activity of phytochemicals with their composition.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Learning outcomes 1-4. W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ritten  reports from laboratory classes containing results of analyses and discussion with published data,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Final assessment includes: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The result of reports: 100%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Knowledge of organic chemistry, biochemistry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TMLPreformatted"/>
              <w:shd w:val="clear" w:color="auto" w:fill="FFFFFF"/>
              <w:spacing w:before="0" w:after="0"/>
              <w:rPr>
                <w:rFonts w:ascii="Arial Narrow" w:hAnsi="Arial Narrow"/>
                <w:color w:val="212121"/>
                <w:sz w:val="18"/>
                <w:szCs w:val="18"/>
              </w:rPr>
            </w:pPr>
            <w:r>
              <w:rPr>
                <w:rFonts w:ascii="Arial Narrow" w:hAnsi="Arial Narrow"/>
                <w:color w:val="212121"/>
                <w:sz w:val="18"/>
                <w:szCs w:val="18"/>
              </w:rPr>
              <w:t>1</w:t>
            </w:r>
            <w:r>
              <w:rPr>
                <w:rFonts w:ascii="inherit" w:hAnsi="inherit"/>
                <w:color w:val="212121"/>
              </w:rPr>
              <w:t xml:space="preserve">. </w:t>
            </w:r>
            <w:r>
              <w:rPr>
                <w:rFonts w:ascii="Arial Narrow" w:hAnsi="Arial Narrow"/>
                <w:color w:val="212121"/>
                <w:sz w:val="18"/>
                <w:szCs w:val="18"/>
              </w:rPr>
              <w:t>Preparation of extracts of phenolic compounds, antioxidant vitamins, pigments from plant material</w:t>
            </w:r>
          </w:p>
          <w:p>
            <w:pPr>
              <w:pStyle w:val="HTMLPreformatted"/>
              <w:shd w:val="clear" w:color="auto" w:fill="FFFFFF"/>
              <w:spacing w:before="0" w:after="0"/>
              <w:rPr>
                <w:rFonts w:ascii="Arial Narrow" w:hAnsi="Arial Narrow"/>
                <w:color w:val="212121"/>
                <w:sz w:val="18"/>
                <w:szCs w:val="18"/>
              </w:rPr>
            </w:pPr>
            <w:r>
              <w:rPr>
                <w:rFonts w:ascii="Arial Narrow" w:hAnsi="Arial Narrow"/>
                <w:color w:val="212121"/>
                <w:sz w:val="18"/>
                <w:szCs w:val="18"/>
              </w:rPr>
              <w:t xml:space="preserve">2. </w:t>
            </w:r>
            <w:r>
              <w:rPr>
                <w:rFonts w:ascii="Arial Narrow" w:hAnsi="Arial Narrow"/>
                <w:sz w:val="18"/>
                <w:szCs w:val="18"/>
              </w:rPr>
              <w:t>Determination of the qualitative and quantitative composition of selected phytochemicals by chromatographic methods</w:t>
            </w:r>
            <w:r>
              <w:rPr>
                <w:rFonts w:ascii="Arial Narrow" w:hAnsi="Arial Narrow"/>
                <w:color w:val="212121"/>
                <w:sz w:val="18"/>
                <w:szCs w:val="18"/>
              </w:rPr>
              <w:t xml:space="preserve"> </w:t>
            </w:r>
          </w:p>
          <w:p>
            <w:pPr>
              <w:pStyle w:val="HTMLPreformatted"/>
              <w:shd w:val="clear" w:color="auto" w:fill="FFFFFF"/>
              <w:spacing w:before="0" w:after="0"/>
              <w:rPr>
                <w:rFonts w:ascii="Arial Narrow" w:hAnsi="Arial Narrow"/>
                <w:color w:val="212121"/>
                <w:sz w:val="18"/>
                <w:szCs w:val="18"/>
              </w:rPr>
            </w:pPr>
            <w:r>
              <w:rPr>
                <w:rFonts w:ascii="Arial Narrow" w:hAnsi="Arial Narrow"/>
                <w:color w:val="212121"/>
                <w:sz w:val="18"/>
                <w:szCs w:val="18"/>
              </w:rPr>
              <w:t>3. Determination of antioxidative activity in various measurement systems</w:t>
            </w:r>
          </w:p>
          <w:p>
            <w:pPr>
              <w:pStyle w:val="HTMLPreformatted"/>
              <w:shd w:val="clear" w:color="auto" w:fill="FFFFFF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212121"/>
                <w:sz w:val="18"/>
                <w:szCs w:val="18"/>
              </w:rPr>
              <w:t xml:space="preserve">4. </w:t>
            </w:r>
            <w:r>
              <w:rPr>
                <w:rFonts w:ascii="Arial Narrow" w:hAnsi="Arial Narrow"/>
                <w:sz w:val="18"/>
                <w:szCs w:val="18"/>
              </w:rPr>
              <w:t xml:space="preserve">Study of the effect of phytochemicals on oxidative stress of cells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 vitro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Scientific journals available in the library network of the Lodz University of Technology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  <w:t>10 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6c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5e7ffb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ListLabel1">
    <w:name w:val="ListLabel 1"/>
    <w:qFormat/>
    <w:rPr>
      <w:b w:val="false"/>
      <w:i w:val="false"/>
      <w:color w:val="00000A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5e7ff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e7ffb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7995"/>
    <w:pPr>
      <w:spacing w:after="0" w:line="240" w:lineRule="auto"/>
    </w:pPr>
    <w:rPr>
      <w:lang w:val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LibreOffice/5.3.0.3$Windows_x86 LibreOffice_project/7074905676c47b82bbcfbea1aeefc84afe1c50e1</Application>
  <Pages>1</Pages>
  <Words>283</Words>
  <Characters>1792</Characters>
  <CharactersWithSpaces>2014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2019-04-07T17:48:00Z</dcterms:created>
  <dc:creator>ARBGB</dc:creator>
  <dc:description/>
  <dc:language>pl-PL</dc:language>
  <cp:lastModifiedBy>Ewelina Pabjańczyk-Wlazło</cp:lastModifiedBy>
  <dcterms:modified xsi:type="dcterms:W3CDTF">2019-05-24T06:30:00Z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