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61"/>
      </w:tblGrid>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Type and description</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rPr>
            </w:pPr>
            <w:r w:rsidRPr="0028270D">
              <w:rPr>
                <w:rFonts w:ascii="Arial Narrow" w:eastAsia="Calibri" w:hAnsi="Arial Narrow" w:cs="Times New Roman"/>
                <w:b/>
                <w:sz w:val="18"/>
                <w:szCs w:val="18"/>
              </w:rPr>
              <w:t>VP</w:t>
            </w:r>
            <w:r w:rsidRPr="0028270D">
              <w:rPr>
                <w:rFonts w:ascii="Arial Narrow" w:eastAsia="Calibri" w:hAnsi="Arial Narrow" w:cs="Times New Roman"/>
                <w:sz w:val="18"/>
                <w:szCs w:val="18"/>
              </w:rPr>
              <w:t xml:space="preserve"> – </w:t>
            </w:r>
            <w:proofErr w:type="spellStart"/>
            <w:r w:rsidRPr="0028270D">
              <w:rPr>
                <w:rFonts w:ascii="Arial Narrow" w:eastAsia="Calibri" w:hAnsi="Arial Narrow" w:cs="Times New Roman"/>
                <w:sz w:val="18"/>
                <w:szCs w:val="18"/>
              </w:rPr>
              <w:t>Visiting</w:t>
            </w:r>
            <w:proofErr w:type="spellEnd"/>
            <w:r w:rsidRPr="0028270D">
              <w:rPr>
                <w:rFonts w:ascii="Arial Narrow" w:eastAsia="Calibri" w:hAnsi="Arial Narrow" w:cs="Times New Roman"/>
                <w:sz w:val="18"/>
                <w:szCs w:val="18"/>
              </w:rPr>
              <w:t xml:space="preserve"> </w:t>
            </w:r>
            <w:proofErr w:type="spellStart"/>
            <w:r w:rsidRPr="0028270D">
              <w:rPr>
                <w:rFonts w:ascii="Arial Narrow" w:eastAsia="Calibri" w:hAnsi="Arial Narrow" w:cs="Times New Roman"/>
                <w:sz w:val="18"/>
                <w:szCs w:val="18"/>
              </w:rPr>
              <w:t>Professor</w:t>
            </w:r>
            <w:proofErr w:type="spellEnd"/>
            <w:r w:rsidRPr="0028270D">
              <w:rPr>
                <w:rFonts w:ascii="Arial Narrow" w:eastAsia="Calibri" w:hAnsi="Arial Narrow" w:cs="Times New Roman"/>
                <w:sz w:val="18"/>
                <w:szCs w:val="18"/>
              </w:rPr>
              <w:t xml:space="preserve"> </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Course name</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b/>
                <w:sz w:val="18"/>
                <w:szCs w:val="18"/>
                <w:lang w:val="en-GB"/>
              </w:rPr>
            </w:pPr>
            <w:bookmarkStart w:id="0" w:name="_GoBack"/>
            <w:r w:rsidRPr="0028270D">
              <w:rPr>
                <w:rFonts w:ascii="Arial Narrow" w:eastAsia="Calibri" w:hAnsi="Arial Narrow" w:cs="Times New Roman"/>
                <w:b/>
                <w:sz w:val="18"/>
                <w:szCs w:val="18"/>
                <w:lang w:val="en-GB"/>
              </w:rPr>
              <w:t>New Generation Photovoltaics: theory, materials and construction</w:t>
            </w:r>
            <w:bookmarkEnd w:id="0"/>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Course name in Polish</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rPr>
            </w:pPr>
            <w:proofErr w:type="spellStart"/>
            <w:r w:rsidRPr="0028270D">
              <w:rPr>
                <w:rFonts w:ascii="Arial Narrow" w:eastAsia="Calibri" w:hAnsi="Arial Narrow" w:cs="Times New Roman"/>
                <w:sz w:val="18"/>
                <w:szCs w:val="18"/>
              </w:rPr>
              <w:t>Fotowoltaika</w:t>
            </w:r>
            <w:proofErr w:type="spellEnd"/>
            <w:r w:rsidRPr="0028270D">
              <w:rPr>
                <w:rFonts w:ascii="Arial Narrow" w:eastAsia="Calibri" w:hAnsi="Arial Narrow" w:cs="Times New Roman"/>
                <w:sz w:val="18"/>
                <w:szCs w:val="18"/>
              </w:rPr>
              <w:t xml:space="preserve"> nowej generacji: teoria, materiały i konstrukcja</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Language of instruction</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rPr>
            </w:pPr>
            <w:r w:rsidRPr="0028270D">
              <w:rPr>
                <w:rFonts w:ascii="Arial Narrow" w:eastAsia="Calibri" w:hAnsi="Arial Narrow" w:cs="Times New Roman"/>
                <w:sz w:val="18"/>
                <w:szCs w:val="18"/>
              </w:rPr>
              <w:t>English</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Course coordinator and academic teachers</w:t>
            </w:r>
          </w:p>
        </w:tc>
        <w:tc>
          <w:tcPr>
            <w:tcW w:w="7053" w:type="dxa"/>
            <w:shd w:val="clear" w:color="auto" w:fill="auto"/>
          </w:tcPr>
          <w:p w:rsidR="0028270D" w:rsidRPr="0028270D" w:rsidRDefault="0028270D" w:rsidP="0028270D">
            <w:pPr>
              <w:spacing w:after="0" w:line="240" w:lineRule="auto"/>
              <w:rPr>
                <w:rFonts w:ascii="Arial Narrow" w:eastAsia="Calibri" w:hAnsi="Arial Narrow" w:cs="Times New Roman"/>
                <w:sz w:val="18"/>
                <w:szCs w:val="18"/>
                <w:lang w:val="en-GB"/>
              </w:rPr>
            </w:pPr>
            <w:r w:rsidRPr="0028270D">
              <w:rPr>
                <w:rFonts w:ascii="Arial Narrow" w:eastAsia="Calibri" w:hAnsi="Arial Narrow" w:cs="Times New Roman"/>
                <w:b/>
                <w:sz w:val="18"/>
                <w:szCs w:val="18"/>
                <w:lang w:val="en-GB"/>
              </w:rPr>
              <w:t xml:space="preserve">prof. </w:t>
            </w:r>
            <w:proofErr w:type="spellStart"/>
            <w:r w:rsidRPr="0028270D">
              <w:rPr>
                <w:rFonts w:ascii="Arial Narrow" w:eastAsia="Calibri" w:hAnsi="Arial Narrow" w:cs="Times New Roman"/>
                <w:b/>
                <w:sz w:val="18"/>
                <w:szCs w:val="18"/>
                <w:lang w:val="en-GB"/>
              </w:rPr>
              <w:t>Jiří</w:t>
            </w:r>
            <w:proofErr w:type="spellEnd"/>
            <w:r w:rsidRPr="0028270D">
              <w:rPr>
                <w:rFonts w:ascii="Arial Narrow" w:eastAsia="Calibri" w:hAnsi="Arial Narrow" w:cs="Times New Roman"/>
                <w:b/>
                <w:sz w:val="18"/>
                <w:szCs w:val="18"/>
                <w:lang w:val="en-GB"/>
              </w:rPr>
              <w:t xml:space="preserve"> </w:t>
            </w:r>
            <w:proofErr w:type="spellStart"/>
            <w:r w:rsidRPr="0028270D">
              <w:rPr>
                <w:rFonts w:ascii="Arial Narrow" w:eastAsia="Calibri" w:hAnsi="Arial Narrow" w:cs="Times New Roman"/>
                <w:b/>
                <w:sz w:val="18"/>
                <w:szCs w:val="18"/>
                <w:lang w:val="en-GB"/>
              </w:rPr>
              <w:t>Pfleger</w:t>
            </w:r>
            <w:proofErr w:type="spellEnd"/>
            <w:r w:rsidRPr="0028270D">
              <w:rPr>
                <w:rFonts w:ascii="Arial Narrow" w:eastAsia="Calibri" w:hAnsi="Arial Narrow" w:cs="Times New Roman"/>
                <w:sz w:val="18"/>
                <w:szCs w:val="18"/>
                <w:lang w:val="en-GB"/>
              </w:rPr>
              <w:t xml:space="preserve">, Institute of </w:t>
            </w:r>
            <w:proofErr w:type="spellStart"/>
            <w:r w:rsidRPr="0028270D">
              <w:rPr>
                <w:rFonts w:ascii="Arial Narrow" w:eastAsia="Calibri" w:hAnsi="Arial Narrow" w:cs="Times New Roman"/>
                <w:sz w:val="18"/>
                <w:szCs w:val="18"/>
                <w:lang w:val="en-GB"/>
              </w:rPr>
              <w:t>Macriomolecular</w:t>
            </w:r>
            <w:proofErr w:type="spellEnd"/>
            <w:r w:rsidRPr="0028270D">
              <w:rPr>
                <w:rFonts w:ascii="Arial Narrow" w:eastAsia="Calibri" w:hAnsi="Arial Narrow" w:cs="Times New Roman"/>
                <w:sz w:val="18"/>
                <w:szCs w:val="18"/>
                <w:lang w:val="en-GB"/>
              </w:rPr>
              <w:t xml:space="preserve"> Chemistry, Czech Academy of Sciences, Prague, Czech Republic; </w:t>
            </w:r>
            <w:r w:rsidRPr="0028270D">
              <w:rPr>
                <w:rFonts w:ascii="Arial Narrow" w:eastAsia="Calibri" w:hAnsi="Arial Narrow" w:cs="Times New Roman"/>
                <w:color w:val="000000"/>
                <w:sz w:val="18"/>
                <w:szCs w:val="18"/>
                <w:lang w:val="en-GB"/>
              </w:rPr>
              <w:t>OR</w:t>
            </w:r>
            <w:hyperlink r:id="rId5" w:tgtFrame="_blank" w:history="1">
              <w:r w:rsidRPr="0028270D">
                <w:rPr>
                  <w:rFonts w:ascii="Arial Narrow" w:eastAsia="Calibri" w:hAnsi="Arial Narrow" w:cs="Times New Roman"/>
                  <w:color w:val="000000"/>
                  <w:sz w:val="18"/>
                  <w:szCs w:val="18"/>
                  <w:lang w:val="en-GB"/>
                </w:rPr>
                <w:t>CID</w:t>
              </w:r>
            </w:hyperlink>
            <w:r w:rsidRPr="0028270D">
              <w:rPr>
                <w:rFonts w:ascii="Arial Narrow" w:eastAsia="Calibri" w:hAnsi="Arial Narrow" w:cs="Times New Roman"/>
                <w:color w:val="000000"/>
                <w:sz w:val="18"/>
                <w:szCs w:val="18"/>
                <w:lang w:val="en-GB"/>
              </w:rPr>
              <w:t xml:space="preserve">: </w:t>
            </w:r>
            <w:hyperlink r:id="rId6" w:history="1">
              <w:r w:rsidRPr="0028270D">
                <w:rPr>
                  <w:rFonts w:ascii="Arial Narrow" w:eastAsia="Calibri" w:hAnsi="Arial Narrow" w:cs="Times New Roman"/>
                  <w:color w:val="000000"/>
                  <w:sz w:val="18"/>
                  <w:szCs w:val="18"/>
                  <w:lang w:val="en-GB"/>
                </w:rPr>
                <w:t>0000-0001-9576-7551</w:t>
              </w:r>
            </w:hyperlink>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Form of classes and number of teaching hours</w:t>
            </w:r>
          </w:p>
        </w:tc>
        <w:tc>
          <w:tcPr>
            <w:tcW w:w="7053" w:type="dxa"/>
            <w:shd w:val="clear" w:color="auto" w:fill="auto"/>
          </w:tcPr>
          <w:tbl>
            <w:tblPr>
              <w:tblW w:w="6829" w:type="dxa"/>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58"/>
              <w:gridCol w:w="634"/>
              <w:gridCol w:w="709"/>
              <w:gridCol w:w="709"/>
              <w:gridCol w:w="709"/>
              <w:gridCol w:w="708"/>
              <w:gridCol w:w="709"/>
              <w:gridCol w:w="1593"/>
            </w:tblGrid>
            <w:tr w:rsidR="0028270D" w:rsidRPr="0028270D" w:rsidTr="00E7798D">
              <w:trPr>
                <w:tblHeader/>
                <w:tblCellSpacing w:w="15" w:type="dxa"/>
              </w:trPr>
              <w:tc>
                <w:tcPr>
                  <w:tcW w:w="0" w:type="auto"/>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b/>
                      <w:bCs/>
                      <w:sz w:val="14"/>
                      <w:szCs w:val="14"/>
                      <w:lang w:val="en-GB" w:eastAsia="en-GB"/>
                    </w:rPr>
                  </w:pPr>
                </w:p>
              </w:tc>
              <w:tc>
                <w:tcPr>
                  <w:tcW w:w="604"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Lecture</w:t>
                  </w:r>
                </w:p>
              </w:tc>
              <w:tc>
                <w:tcPr>
                  <w:tcW w:w="679"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Tutorials</w:t>
                  </w:r>
                </w:p>
              </w:tc>
              <w:tc>
                <w:tcPr>
                  <w:tcW w:w="679"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Laboratory</w:t>
                  </w:r>
                </w:p>
              </w:tc>
              <w:tc>
                <w:tcPr>
                  <w:tcW w:w="679"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Project</w:t>
                  </w:r>
                </w:p>
              </w:tc>
              <w:tc>
                <w:tcPr>
                  <w:tcW w:w="678"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Seminar</w:t>
                  </w:r>
                </w:p>
              </w:tc>
              <w:tc>
                <w:tcPr>
                  <w:tcW w:w="679"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Other</w:t>
                  </w:r>
                </w:p>
              </w:tc>
              <w:tc>
                <w:tcPr>
                  <w:tcW w:w="1548" w:type="dxa"/>
                  <w:shd w:val="clear" w:color="auto" w:fill="CCCCCC"/>
                  <w:tcMar>
                    <w:top w:w="30" w:type="dxa"/>
                    <w:left w:w="30" w:type="dxa"/>
                    <w:bottom w:w="30" w:type="dxa"/>
                    <w:right w:w="30" w:type="dxa"/>
                  </w:tcMar>
                  <w:vAlign w:val="center"/>
                  <w:hideMark/>
                </w:tcPr>
                <w:p w:rsidR="0028270D" w:rsidRPr="0028270D" w:rsidRDefault="0028270D" w:rsidP="0028270D">
                  <w:pPr>
                    <w:spacing w:after="0" w:line="240" w:lineRule="auto"/>
                    <w:jc w:val="center"/>
                    <w:rPr>
                      <w:rFonts w:ascii="Arial Narrow" w:eastAsia="Calibri" w:hAnsi="Arial Narrow" w:cs="Helvetica"/>
                      <w:b/>
                      <w:bCs/>
                      <w:color w:val="000000"/>
                      <w:sz w:val="14"/>
                      <w:szCs w:val="14"/>
                      <w:lang w:val="en-GB"/>
                    </w:rPr>
                  </w:pPr>
                  <w:r w:rsidRPr="0028270D">
                    <w:rPr>
                      <w:rFonts w:ascii="Arial Narrow" w:eastAsia="Calibri" w:hAnsi="Arial Narrow" w:cs="Helvetica"/>
                      <w:b/>
                      <w:bCs/>
                      <w:color w:val="000000"/>
                      <w:sz w:val="14"/>
                      <w:szCs w:val="14"/>
                      <w:lang w:val="en-GB"/>
                    </w:rPr>
                    <w:t>Total of teaching hours during semester</w:t>
                  </w:r>
                </w:p>
              </w:tc>
            </w:tr>
            <w:tr w:rsidR="0028270D" w:rsidRPr="0028270D" w:rsidTr="00E7798D">
              <w:trPr>
                <w:tblCellSpacing w:w="15" w:type="dxa"/>
              </w:trPr>
              <w:tc>
                <w:tcPr>
                  <w:tcW w:w="1013"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Contact hours</w:t>
                  </w:r>
                </w:p>
              </w:tc>
              <w:tc>
                <w:tcPr>
                  <w:tcW w:w="604"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20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p>
              </w:tc>
              <w:tc>
                <w:tcPr>
                  <w:tcW w:w="678"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5</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5</w:t>
                  </w:r>
                </w:p>
              </w:tc>
              <w:tc>
                <w:tcPr>
                  <w:tcW w:w="1548"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30</w:t>
                  </w:r>
                </w:p>
              </w:tc>
            </w:tr>
            <w:tr w:rsidR="0028270D" w:rsidRPr="0028270D" w:rsidTr="00E7798D">
              <w:trPr>
                <w:tblCellSpacing w:w="15" w:type="dxa"/>
              </w:trPr>
              <w:tc>
                <w:tcPr>
                  <w:tcW w:w="1013" w:type="dxa"/>
                  <w:tcMar>
                    <w:top w:w="60" w:type="dxa"/>
                    <w:left w:w="60" w:type="dxa"/>
                    <w:bottom w:w="60" w:type="dxa"/>
                    <w:right w:w="60" w:type="dxa"/>
                  </w:tcMar>
                  <w:vAlign w:val="center"/>
                  <w:hideMark/>
                </w:tcPr>
                <w:p w:rsidR="0028270D" w:rsidRPr="0028270D" w:rsidRDefault="0028270D" w:rsidP="0028270D">
                  <w:pPr>
                    <w:spacing w:after="0" w:line="240" w:lineRule="auto"/>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E-learning</w:t>
                  </w:r>
                </w:p>
              </w:tc>
              <w:tc>
                <w:tcPr>
                  <w:tcW w:w="604"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No</w:t>
                  </w:r>
                </w:p>
              </w:tc>
              <w:tc>
                <w:tcPr>
                  <w:tcW w:w="678"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Yes</w:t>
                  </w:r>
                </w:p>
              </w:tc>
              <w:tc>
                <w:tcPr>
                  <w:tcW w:w="1548" w:type="dxa"/>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p>
              </w:tc>
            </w:tr>
            <w:tr w:rsidR="0028270D" w:rsidRPr="0028270D" w:rsidTr="00E7798D">
              <w:trPr>
                <w:tblCellSpacing w:w="15" w:type="dxa"/>
              </w:trPr>
              <w:tc>
                <w:tcPr>
                  <w:tcW w:w="1013"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rPr>
                      <w:rFonts w:ascii="Arial Narrow" w:eastAsia="Times New Roman" w:hAnsi="Arial Narrow" w:cs="Times New Roman"/>
                      <w:sz w:val="14"/>
                      <w:szCs w:val="14"/>
                      <w:lang w:val="en-GB" w:eastAsia="en-GB"/>
                    </w:rPr>
                  </w:pPr>
                  <w:r w:rsidRPr="0028270D">
                    <w:rPr>
                      <w:rFonts w:ascii="Arial Narrow" w:eastAsia="Calibri" w:hAnsi="Arial Narrow" w:cs="Helvetica"/>
                      <w:color w:val="000000"/>
                      <w:sz w:val="14"/>
                      <w:szCs w:val="14"/>
                      <w:shd w:val="clear" w:color="auto" w:fill="EEEEEE"/>
                      <w:lang w:val="en-GB"/>
                    </w:rPr>
                    <w:t>Assessment criteria (weightage)</w:t>
                  </w:r>
                </w:p>
              </w:tc>
              <w:tc>
                <w:tcPr>
                  <w:tcW w:w="604"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0.70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0.00</w:t>
                  </w:r>
                </w:p>
              </w:tc>
              <w:tc>
                <w:tcPr>
                  <w:tcW w:w="678"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0.30</w:t>
                  </w:r>
                </w:p>
              </w:tc>
              <w:tc>
                <w:tcPr>
                  <w:tcW w:w="679"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r w:rsidRPr="0028270D">
                    <w:rPr>
                      <w:rFonts w:ascii="Arial Narrow" w:eastAsia="Times New Roman" w:hAnsi="Arial Narrow" w:cs="Times New Roman"/>
                      <w:sz w:val="14"/>
                      <w:szCs w:val="14"/>
                      <w:lang w:val="en-GB" w:eastAsia="en-GB"/>
                    </w:rPr>
                    <w:t>0.00</w:t>
                  </w:r>
                </w:p>
              </w:tc>
              <w:tc>
                <w:tcPr>
                  <w:tcW w:w="1548" w:type="dxa"/>
                  <w:shd w:val="clear" w:color="auto" w:fill="EEEEEE"/>
                  <w:tcMar>
                    <w:top w:w="60" w:type="dxa"/>
                    <w:left w:w="60" w:type="dxa"/>
                    <w:bottom w:w="60" w:type="dxa"/>
                    <w:right w:w="60" w:type="dxa"/>
                  </w:tcMar>
                  <w:vAlign w:val="center"/>
                  <w:hideMark/>
                </w:tcPr>
                <w:p w:rsidR="0028270D" w:rsidRPr="0028270D" w:rsidRDefault="0028270D" w:rsidP="0028270D">
                  <w:pPr>
                    <w:spacing w:after="0" w:line="240" w:lineRule="auto"/>
                    <w:jc w:val="center"/>
                    <w:rPr>
                      <w:rFonts w:ascii="Arial Narrow" w:eastAsia="Times New Roman" w:hAnsi="Arial Narrow" w:cs="Times New Roman"/>
                      <w:sz w:val="14"/>
                      <w:szCs w:val="14"/>
                      <w:lang w:val="en-GB" w:eastAsia="en-GB"/>
                    </w:rPr>
                  </w:pPr>
                </w:p>
              </w:tc>
            </w:tr>
          </w:tbl>
          <w:p w:rsidR="0028270D" w:rsidRPr="0028270D" w:rsidRDefault="0028270D" w:rsidP="0028270D">
            <w:pPr>
              <w:spacing w:after="0"/>
              <w:jc w:val="both"/>
              <w:rPr>
                <w:rFonts w:ascii="Arial Narrow" w:eastAsia="Calibri" w:hAnsi="Arial Narrow" w:cs="Times New Roman"/>
                <w:sz w:val="18"/>
                <w:szCs w:val="18"/>
              </w:rPr>
            </w:pP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Course organisation and content</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US"/>
              </w:rPr>
              <w:t xml:space="preserve">The course provides a theoretical, material, experimental and technological background of the photovoltaic solar energy conversion and its application. Besides traditional silicon cells it follows modern trends in exploiting new materials, including polymers, and new physical principles. The students will learn mathematical and theoretical background of the photovoltaic effect in various functional structures and materials. Phenomena important for the photoelectrical conversion like photoexcitation in organic and inorganic semiconductors, exciton and </w:t>
            </w:r>
            <w:proofErr w:type="spellStart"/>
            <w:r w:rsidRPr="0028270D">
              <w:rPr>
                <w:rFonts w:ascii="Arial Narrow" w:eastAsia="Calibri" w:hAnsi="Arial Narrow" w:cs="Times New Roman"/>
                <w:sz w:val="18"/>
                <w:szCs w:val="18"/>
                <w:lang w:val="en-US"/>
              </w:rPr>
              <w:t>polaron</w:t>
            </w:r>
            <w:proofErr w:type="spellEnd"/>
            <w:r w:rsidRPr="0028270D">
              <w:rPr>
                <w:rFonts w:ascii="Arial Narrow" w:eastAsia="Calibri" w:hAnsi="Arial Narrow" w:cs="Times New Roman"/>
                <w:sz w:val="18"/>
                <w:szCs w:val="18"/>
                <w:lang w:val="en-US"/>
              </w:rPr>
              <w:t xml:space="preserve"> formation, free charge generation, charge transport, bulk and surface recombination will be explained. Advanced technologies for power conversion efficiency enhancement will be introduced like concentrator solar cells, two-photon absorption, exciton fusion and fission, </w:t>
            </w:r>
            <w:proofErr w:type="spellStart"/>
            <w:r w:rsidRPr="0028270D">
              <w:rPr>
                <w:rFonts w:ascii="Arial Narrow" w:eastAsia="Calibri" w:hAnsi="Arial Narrow" w:cs="Times New Roman"/>
                <w:sz w:val="18"/>
                <w:szCs w:val="18"/>
                <w:lang w:val="en-US"/>
              </w:rPr>
              <w:t>plasmonic</w:t>
            </w:r>
            <w:proofErr w:type="spellEnd"/>
            <w:r w:rsidRPr="0028270D">
              <w:rPr>
                <w:rFonts w:ascii="Arial Narrow" w:eastAsia="Calibri" w:hAnsi="Arial Narrow" w:cs="Times New Roman"/>
                <w:sz w:val="18"/>
                <w:szCs w:val="18"/>
                <w:lang w:val="en-US"/>
              </w:rPr>
              <w:t xml:space="preserve"> enhancement, multiple junction cells, tandem cells. Part of the lecture will be dedicated to the approaching thin film technologies like </w:t>
            </w:r>
            <w:r w:rsidRPr="0028270D">
              <w:rPr>
                <w:rFonts w:ascii="Arial Narrow" w:eastAsia="Calibri" w:hAnsi="Arial Narrow" w:cs="TimesNewRoman"/>
                <w:sz w:val="18"/>
                <w:szCs w:val="18"/>
                <w:lang w:val="en-US"/>
              </w:rPr>
              <w:t xml:space="preserve">amorphous Si, microcrystalline Si, </w:t>
            </w:r>
            <w:proofErr w:type="spellStart"/>
            <w:r w:rsidRPr="0028270D">
              <w:rPr>
                <w:rFonts w:ascii="Arial Narrow" w:eastAsia="Calibri" w:hAnsi="Arial Narrow" w:cs="Times New Roman"/>
                <w:sz w:val="18"/>
                <w:szCs w:val="18"/>
                <w:lang w:val="en-US"/>
              </w:rPr>
              <w:t>CdTe</w:t>
            </w:r>
            <w:proofErr w:type="spellEnd"/>
            <w:r w:rsidRPr="0028270D">
              <w:rPr>
                <w:rFonts w:ascii="Arial Narrow" w:eastAsia="Calibri" w:hAnsi="Arial Narrow" w:cs="Times New Roman"/>
                <w:sz w:val="18"/>
                <w:szCs w:val="18"/>
                <w:lang w:val="en-US"/>
              </w:rPr>
              <w:t>, CIS, CIGS, h</w:t>
            </w:r>
            <w:r w:rsidRPr="0028270D">
              <w:rPr>
                <w:rFonts w:ascii="Arial Narrow" w:eastAsia="Calibri" w:hAnsi="Arial Narrow" w:cs="TimesNewRoman"/>
                <w:sz w:val="18"/>
                <w:szCs w:val="18"/>
                <w:lang w:val="en-US"/>
              </w:rPr>
              <w:t>ybrid organic-inorganic solar cells (</w:t>
            </w:r>
            <w:proofErr w:type="spellStart"/>
            <w:r w:rsidRPr="0028270D">
              <w:rPr>
                <w:rFonts w:ascii="Arial Narrow" w:eastAsia="Calibri" w:hAnsi="Arial Narrow" w:cs="TimesNewRoman"/>
                <w:sz w:val="18"/>
                <w:szCs w:val="18"/>
                <w:lang w:val="en-US"/>
              </w:rPr>
              <w:t>Grätzel</w:t>
            </w:r>
            <w:proofErr w:type="spellEnd"/>
            <w:r w:rsidRPr="0028270D">
              <w:rPr>
                <w:rFonts w:ascii="Arial Narrow" w:eastAsia="Calibri" w:hAnsi="Arial Narrow" w:cs="TimesNewRoman"/>
                <w:sz w:val="18"/>
                <w:szCs w:val="18"/>
                <w:lang w:val="en-US"/>
              </w:rPr>
              <w:t xml:space="preserve"> cells) and polymer bulk-heterojunction photovoltaic cells. One chapter </w:t>
            </w:r>
            <w:r w:rsidRPr="0028270D">
              <w:rPr>
                <w:rFonts w:ascii="Arial Narrow" w:eastAsia="Calibri" w:hAnsi="Arial Narrow" w:cs="Times New Roman"/>
                <w:sz w:val="18"/>
                <w:szCs w:val="18"/>
                <w:lang w:val="en-US"/>
              </w:rPr>
              <w:t xml:space="preserve">of the course will be dedicated to the practical and economical aspects of the application of solar cells in the distribution power networks. The life cycle assessment will provide students with better understanding of the relation between the photovoltaic cells application and environmental protection. </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Helvetica"/>
                <w:b/>
                <w:bCs/>
                <w:iCs/>
                <w:color w:val="000000"/>
                <w:sz w:val="18"/>
                <w:szCs w:val="18"/>
                <w:lang w:val="en-GB"/>
              </w:rPr>
              <w:t>Assessment methods</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Calibri"/>
                <w:sz w:val="18"/>
                <w:szCs w:val="18"/>
                <w:lang w:val="en-GB"/>
              </w:rPr>
            </w:pPr>
            <w:r w:rsidRPr="0028270D">
              <w:rPr>
                <w:rFonts w:ascii="Arial Narrow" w:eastAsia="Calibri" w:hAnsi="Arial Narrow" w:cs="Calibri"/>
                <w:sz w:val="18"/>
                <w:szCs w:val="18"/>
                <w:lang w:val="en-GB"/>
              </w:rPr>
              <w:t>Oral examination (weight 0.7), presentation of seminar work (weight 0.3)</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Basic reference materials</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1. Physics of solar cells : from basic principles to advanced concepts. Peter </w:t>
            </w:r>
            <w:proofErr w:type="spellStart"/>
            <w:r w:rsidRPr="0028270D">
              <w:rPr>
                <w:rFonts w:ascii="Arial Narrow" w:eastAsia="Calibri" w:hAnsi="Arial Narrow" w:cs="Times New Roman"/>
                <w:sz w:val="18"/>
                <w:szCs w:val="18"/>
                <w:lang w:val="en-GB"/>
              </w:rPr>
              <w:t>Würfel</w:t>
            </w:r>
            <w:proofErr w:type="spellEnd"/>
            <w:r w:rsidRPr="0028270D">
              <w:rPr>
                <w:rFonts w:ascii="Arial Narrow" w:eastAsia="Calibri" w:hAnsi="Arial Narrow" w:cs="Times New Roman"/>
                <w:sz w:val="18"/>
                <w:szCs w:val="18"/>
                <w:lang w:val="en-GB"/>
              </w:rPr>
              <w:t xml:space="preserve">, </w:t>
            </w:r>
            <w:proofErr w:type="spellStart"/>
            <w:r w:rsidRPr="0028270D">
              <w:rPr>
                <w:rFonts w:ascii="Arial Narrow" w:eastAsia="Calibri" w:hAnsi="Arial Narrow" w:cs="Times New Roman"/>
                <w:sz w:val="18"/>
                <w:szCs w:val="18"/>
                <w:lang w:val="en-GB"/>
              </w:rPr>
              <w:t>Uli</w:t>
            </w:r>
            <w:proofErr w:type="spellEnd"/>
            <w:r w:rsidRPr="0028270D">
              <w:rPr>
                <w:rFonts w:ascii="Arial Narrow" w:eastAsia="Calibri" w:hAnsi="Arial Narrow" w:cs="Times New Roman"/>
                <w:sz w:val="18"/>
                <w:szCs w:val="18"/>
                <w:lang w:val="en-GB"/>
              </w:rPr>
              <w:t xml:space="preserve"> </w:t>
            </w:r>
            <w:proofErr w:type="spellStart"/>
            <w:r w:rsidRPr="0028270D">
              <w:rPr>
                <w:rFonts w:ascii="Arial Narrow" w:eastAsia="Calibri" w:hAnsi="Arial Narrow" w:cs="Times New Roman"/>
                <w:sz w:val="18"/>
                <w:szCs w:val="18"/>
                <w:lang w:val="en-GB"/>
              </w:rPr>
              <w:t>Würfel</w:t>
            </w:r>
            <w:proofErr w:type="spellEnd"/>
            <w:r w:rsidRPr="0028270D">
              <w:rPr>
                <w:rFonts w:ascii="Arial Narrow" w:eastAsia="Calibri" w:hAnsi="Arial Narrow" w:cs="Times New Roman"/>
                <w:sz w:val="18"/>
                <w:szCs w:val="18"/>
                <w:lang w:val="en-GB"/>
              </w:rPr>
              <w:t xml:space="preserve">. -- 2nd updated and expanded ed. </w:t>
            </w:r>
            <w:proofErr w:type="spellStart"/>
            <w:r w:rsidRPr="0028270D">
              <w:rPr>
                <w:rFonts w:ascii="Arial Narrow" w:eastAsia="Calibri" w:hAnsi="Arial Narrow" w:cs="Times New Roman"/>
                <w:sz w:val="18"/>
                <w:szCs w:val="18"/>
                <w:lang w:val="en-GB"/>
              </w:rPr>
              <w:t>Weinheim</w:t>
            </w:r>
            <w:proofErr w:type="spellEnd"/>
            <w:r w:rsidRPr="0028270D">
              <w:rPr>
                <w:rFonts w:ascii="Arial Narrow" w:eastAsia="Calibri" w:hAnsi="Arial Narrow" w:cs="Times New Roman"/>
                <w:sz w:val="18"/>
                <w:szCs w:val="18"/>
                <w:lang w:val="en-GB"/>
              </w:rPr>
              <w:t>: Wiley-VCH, 2009.</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2. Flexible solar cells. Mario </w:t>
            </w:r>
            <w:proofErr w:type="spellStart"/>
            <w:r w:rsidRPr="0028270D">
              <w:rPr>
                <w:rFonts w:ascii="Arial Narrow" w:eastAsia="Calibri" w:hAnsi="Arial Narrow" w:cs="Times New Roman"/>
                <w:sz w:val="18"/>
                <w:szCs w:val="18"/>
                <w:lang w:val="en-GB"/>
              </w:rPr>
              <w:t>Pagliaro</w:t>
            </w:r>
            <w:proofErr w:type="spellEnd"/>
            <w:r w:rsidRPr="0028270D">
              <w:rPr>
                <w:rFonts w:ascii="Arial Narrow" w:eastAsia="Calibri" w:hAnsi="Arial Narrow" w:cs="Times New Roman"/>
                <w:sz w:val="18"/>
                <w:szCs w:val="18"/>
                <w:lang w:val="en-GB"/>
              </w:rPr>
              <w:t xml:space="preserve">, Giovanni </w:t>
            </w:r>
            <w:proofErr w:type="spellStart"/>
            <w:r w:rsidRPr="0028270D">
              <w:rPr>
                <w:rFonts w:ascii="Arial Narrow" w:eastAsia="Calibri" w:hAnsi="Arial Narrow" w:cs="Times New Roman"/>
                <w:sz w:val="18"/>
                <w:szCs w:val="18"/>
                <w:lang w:val="en-GB"/>
              </w:rPr>
              <w:t>Palmisano</w:t>
            </w:r>
            <w:proofErr w:type="spellEnd"/>
            <w:r w:rsidRPr="0028270D">
              <w:rPr>
                <w:rFonts w:ascii="Arial Narrow" w:eastAsia="Calibri" w:hAnsi="Arial Narrow" w:cs="Times New Roman"/>
                <w:sz w:val="18"/>
                <w:szCs w:val="18"/>
                <w:lang w:val="en-GB"/>
              </w:rPr>
              <w:t xml:space="preserve">, and Rosaria </w:t>
            </w:r>
            <w:proofErr w:type="spellStart"/>
            <w:r w:rsidRPr="0028270D">
              <w:rPr>
                <w:rFonts w:ascii="Arial Narrow" w:eastAsia="Calibri" w:hAnsi="Arial Narrow" w:cs="Times New Roman"/>
                <w:sz w:val="18"/>
                <w:szCs w:val="18"/>
                <w:lang w:val="en-GB"/>
              </w:rPr>
              <w:t>Ciriminna</w:t>
            </w:r>
            <w:proofErr w:type="spellEnd"/>
            <w:r w:rsidRPr="0028270D">
              <w:rPr>
                <w:rFonts w:ascii="Arial Narrow" w:eastAsia="Calibri" w:hAnsi="Arial Narrow" w:cs="Times New Roman"/>
                <w:sz w:val="18"/>
                <w:szCs w:val="18"/>
                <w:lang w:val="en-GB"/>
              </w:rPr>
              <w:t xml:space="preserve">.  </w:t>
            </w:r>
            <w:proofErr w:type="spellStart"/>
            <w:r w:rsidRPr="0028270D">
              <w:rPr>
                <w:rFonts w:ascii="Arial Narrow" w:eastAsia="Calibri" w:hAnsi="Arial Narrow" w:cs="Times New Roman"/>
                <w:sz w:val="18"/>
                <w:szCs w:val="18"/>
                <w:lang w:val="en-GB"/>
              </w:rPr>
              <w:t>Weinheim</w:t>
            </w:r>
            <w:proofErr w:type="spellEnd"/>
            <w:r w:rsidRPr="0028270D">
              <w:rPr>
                <w:rFonts w:ascii="Arial Narrow" w:eastAsia="Calibri" w:hAnsi="Arial Narrow" w:cs="Times New Roman"/>
                <w:sz w:val="18"/>
                <w:szCs w:val="18"/>
                <w:lang w:val="en-GB"/>
              </w:rPr>
              <w:t xml:space="preserve"> : Wiley-VCH, 2008.</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Other reference materials</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1. Solar cell device physics. </w:t>
            </w:r>
            <w:proofErr w:type="spellStart"/>
            <w:r w:rsidRPr="0028270D">
              <w:rPr>
                <w:rFonts w:ascii="Arial Narrow" w:eastAsia="Calibri" w:hAnsi="Arial Narrow" w:cs="Times New Roman"/>
                <w:sz w:val="18"/>
                <w:szCs w:val="18"/>
                <w:lang w:val="en-GB"/>
              </w:rPr>
              <w:t>Fonash</w:t>
            </w:r>
            <w:proofErr w:type="spellEnd"/>
            <w:r w:rsidRPr="0028270D">
              <w:rPr>
                <w:rFonts w:ascii="Arial Narrow" w:eastAsia="Calibri" w:hAnsi="Arial Narrow" w:cs="Times New Roman"/>
                <w:sz w:val="18"/>
                <w:szCs w:val="18"/>
                <w:lang w:val="en-GB"/>
              </w:rPr>
              <w:t xml:space="preserve">, S.J.. 2nd ed., Burlington: Academic Press, 2010. </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2. </w:t>
            </w:r>
            <w:proofErr w:type="spellStart"/>
            <w:r w:rsidRPr="0028270D">
              <w:rPr>
                <w:rFonts w:ascii="Arial Narrow" w:eastAsia="Calibri" w:hAnsi="Arial Narrow" w:cs="Times New Roman"/>
                <w:sz w:val="18"/>
                <w:szCs w:val="18"/>
                <w:lang w:val="en-GB"/>
              </w:rPr>
              <w:t>Hou</w:t>
            </w:r>
            <w:proofErr w:type="spellEnd"/>
            <w:r w:rsidRPr="0028270D">
              <w:rPr>
                <w:rFonts w:ascii="Arial Narrow" w:eastAsia="Calibri" w:hAnsi="Arial Narrow" w:cs="Times New Roman"/>
                <w:sz w:val="18"/>
                <w:szCs w:val="18"/>
                <w:lang w:val="en-GB"/>
              </w:rPr>
              <w:t>, W.J.; Xiao, Y.M.; Han, G.Y.; Lin, J.Y.: The Applications of Polymers in Solar Cells: A Review. Polymers 2019 (1), 11.</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3. Chen, F.C.: Emerging Organic and Organic/Inorganic Hybrid Photovoltaic Devices for Specialty Applications: Low-Level-Lighting Energy Conversion and Biomedical Treatment,. Adv. Opt. Mater. 2019 (1), 7. </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4. </w:t>
            </w:r>
            <w:proofErr w:type="spellStart"/>
            <w:r w:rsidRPr="0028270D">
              <w:rPr>
                <w:rFonts w:ascii="Arial Narrow" w:eastAsia="Calibri" w:hAnsi="Arial Narrow" w:cs="Times New Roman"/>
                <w:sz w:val="18"/>
                <w:szCs w:val="18"/>
                <w:lang w:val="en-GB"/>
              </w:rPr>
              <w:t>Sadasivuni</w:t>
            </w:r>
            <w:proofErr w:type="spellEnd"/>
            <w:r w:rsidRPr="0028270D">
              <w:rPr>
                <w:rFonts w:ascii="Arial Narrow" w:eastAsia="Calibri" w:hAnsi="Arial Narrow" w:cs="Times New Roman"/>
                <w:sz w:val="18"/>
                <w:szCs w:val="18"/>
                <w:lang w:val="en-GB"/>
              </w:rPr>
              <w:t xml:space="preserve">, K.K.; </w:t>
            </w:r>
            <w:proofErr w:type="spellStart"/>
            <w:r w:rsidRPr="0028270D">
              <w:rPr>
                <w:rFonts w:ascii="Arial Narrow" w:eastAsia="Calibri" w:hAnsi="Arial Narrow" w:cs="Times New Roman"/>
                <w:sz w:val="18"/>
                <w:szCs w:val="18"/>
                <w:lang w:val="en-GB"/>
              </w:rPr>
              <w:t>Deshmukh</w:t>
            </w:r>
            <w:proofErr w:type="spellEnd"/>
            <w:r w:rsidRPr="0028270D">
              <w:rPr>
                <w:rFonts w:ascii="Arial Narrow" w:eastAsia="Calibri" w:hAnsi="Arial Narrow" w:cs="Times New Roman"/>
                <w:sz w:val="18"/>
                <w:szCs w:val="18"/>
                <w:lang w:val="en-GB"/>
              </w:rPr>
              <w:t xml:space="preserve">, K.; </w:t>
            </w:r>
            <w:proofErr w:type="spellStart"/>
            <w:r w:rsidRPr="0028270D">
              <w:rPr>
                <w:rFonts w:ascii="Arial Narrow" w:eastAsia="Calibri" w:hAnsi="Arial Narrow" w:cs="Times New Roman"/>
                <w:sz w:val="18"/>
                <w:szCs w:val="18"/>
                <w:lang w:val="en-GB"/>
              </w:rPr>
              <w:t>Ahipa</w:t>
            </w:r>
            <w:proofErr w:type="spellEnd"/>
            <w:r w:rsidRPr="0028270D">
              <w:rPr>
                <w:rFonts w:ascii="Arial Narrow" w:eastAsia="Calibri" w:hAnsi="Arial Narrow" w:cs="Times New Roman"/>
                <w:sz w:val="18"/>
                <w:szCs w:val="18"/>
                <w:lang w:val="en-GB"/>
              </w:rPr>
              <w:t xml:space="preserve">, T.N.; </w:t>
            </w:r>
            <w:proofErr w:type="spellStart"/>
            <w:r w:rsidRPr="0028270D">
              <w:rPr>
                <w:rFonts w:ascii="Arial Narrow" w:eastAsia="Calibri" w:hAnsi="Arial Narrow" w:cs="Times New Roman"/>
                <w:sz w:val="18"/>
                <w:szCs w:val="18"/>
                <w:lang w:val="en-GB"/>
              </w:rPr>
              <w:t>Muzaffar</w:t>
            </w:r>
            <w:proofErr w:type="spellEnd"/>
            <w:r w:rsidRPr="0028270D">
              <w:rPr>
                <w:rFonts w:ascii="Arial Narrow" w:eastAsia="Calibri" w:hAnsi="Arial Narrow" w:cs="Times New Roman"/>
                <w:sz w:val="18"/>
                <w:szCs w:val="18"/>
                <w:lang w:val="en-GB"/>
              </w:rPr>
              <w:t xml:space="preserve">, A.; </w:t>
            </w:r>
            <w:proofErr w:type="spellStart"/>
            <w:r w:rsidRPr="0028270D">
              <w:rPr>
                <w:rFonts w:ascii="Arial Narrow" w:eastAsia="Calibri" w:hAnsi="Arial Narrow" w:cs="Times New Roman"/>
                <w:sz w:val="18"/>
                <w:szCs w:val="18"/>
                <w:lang w:val="en-GB"/>
              </w:rPr>
              <w:t>Ahamed</w:t>
            </w:r>
            <w:proofErr w:type="spellEnd"/>
            <w:r w:rsidRPr="0028270D">
              <w:rPr>
                <w:rFonts w:ascii="Arial Narrow" w:eastAsia="Calibri" w:hAnsi="Arial Narrow" w:cs="Times New Roman"/>
                <w:sz w:val="18"/>
                <w:szCs w:val="18"/>
                <w:lang w:val="en-GB"/>
              </w:rPr>
              <w:t xml:space="preserve">, M.B.; Pasha, S.K.K.; Al- </w:t>
            </w:r>
            <w:proofErr w:type="spellStart"/>
            <w:r w:rsidRPr="0028270D">
              <w:rPr>
                <w:rFonts w:ascii="Arial Narrow" w:eastAsia="Calibri" w:hAnsi="Arial Narrow" w:cs="Times New Roman"/>
                <w:sz w:val="18"/>
                <w:szCs w:val="18"/>
                <w:lang w:val="en-GB"/>
              </w:rPr>
              <w:t>Maadeed</w:t>
            </w:r>
            <w:proofErr w:type="spellEnd"/>
            <w:r w:rsidRPr="0028270D">
              <w:rPr>
                <w:rFonts w:ascii="Arial Narrow" w:eastAsia="Calibri" w:hAnsi="Arial Narrow" w:cs="Times New Roman"/>
                <w:sz w:val="18"/>
                <w:szCs w:val="18"/>
                <w:lang w:val="en-GB"/>
              </w:rPr>
              <w:t>, M.A.: Flexible, biodegradable and recyclable solar cells: a review, J. Mater. Sci.-Mater. Electron. 2019, 30 (2), 951-974.</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5. </w:t>
            </w:r>
            <w:proofErr w:type="spellStart"/>
            <w:r w:rsidRPr="0028270D">
              <w:rPr>
                <w:rFonts w:ascii="Arial Narrow" w:eastAsia="Calibri" w:hAnsi="Arial Narrow" w:cs="Times New Roman"/>
                <w:sz w:val="18"/>
                <w:szCs w:val="18"/>
                <w:lang w:val="en-GB"/>
              </w:rPr>
              <w:t>Gusain</w:t>
            </w:r>
            <w:proofErr w:type="spellEnd"/>
            <w:r w:rsidRPr="0028270D">
              <w:rPr>
                <w:rFonts w:ascii="Arial Narrow" w:eastAsia="Calibri" w:hAnsi="Arial Narrow" w:cs="Times New Roman"/>
                <w:sz w:val="18"/>
                <w:szCs w:val="18"/>
                <w:lang w:val="en-GB"/>
              </w:rPr>
              <w:t xml:space="preserve">, A.; </w:t>
            </w:r>
            <w:proofErr w:type="spellStart"/>
            <w:r w:rsidRPr="0028270D">
              <w:rPr>
                <w:rFonts w:ascii="Arial Narrow" w:eastAsia="Calibri" w:hAnsi="Arial Narrow" w:cs="Times New Roman"/>
                <w:sz w:val="18"/>
                <w:szCs w:val="18"/>
                <w:lang w:val="en-GB"/>
              </w:rPr>
              <w:t>Faria</w:t>
            </w:r>
            <w:proofErr w:type="spellEnd"/>
            <w:r w:rsidRPr="0028270D">
              <w:rPr>
                <w:rFonts w:ascii="Arial Narrow" w:eastAsia="Calibri" w:hAnsi="Arial Narrow" w:cs="Times New Roman"/>
                <w:sz w:val="18"/>
                <w:szCs w:val="18"/>
                <w:lang w:val="en-GB"/>
              </w:rPr>
              <w:t>, R.M.; Miranda, P.B.: Polymer Solar Cells-Interfacial Processes Related to Performance Issues, Front. Chem. 2019, 7.</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6. </w:t>
            </w:r>
            <w:proofErr w:type="spellStart"/>
            <w:r w:rsidRPr="0028270D">
              <w:rPr>
                <w:rFonts w:ascii="Arial Narrow" w:eastAsia="Calibri" w:hAnsi="Arial Narrow" w:cs="Times New Roman"/>
                <w:sz w:val="18"/>
                <w:szCs w:val="18"/>
                <w:lang w:val="en-GB"/>
              </w:rPr>
              <w:t>Alaaeddin</w:t>
            </w:r>
            <w:proofErr w:type="spellEnd"/>
            <w:r w:rsidRPr="0028270D">
              <w:rPr>
                <w:rFonts w:ascii="Arial Narrow" w:eastAsia="Calibri" w:hAnsi="Arial Narrow" w:cs="Times New Roman"/>
                <w:sz w:val="18"/>
                <w:szCs w:val="18"/>
                <w:lang w:val="en-GB"/>
              </w:rPr>
              <w:t xml:space="preserve">, M.H.; </w:t>
            </w:r>
            <w:proofErr w:type="spellStart"/>
            <w:r w:rsidRPr="0028270D">
              <w:rPr>
                <w:rFonts w:ascii="Arial Narrow" w:eastAsia="Calibri" w:hAnsi="Arial Narrow" w:cs="Times New Roman"/>
                <w:sz w:val="18"/>
                <w:szCs w:val="18"/>
                <w:lang w:val="en-GB"/>
              </w:rPr>
              <w:t>Sapuan</w:t>
            </w:r>
            <w:proofErr w:type="spellEnd"/>
            <w:r w:rsidRPr="0028270D">
              <w:rPr>
                <w:rFonts w:ascii="Arial Narrow" w:eastAsia="Calibri" w:hAnsi="Arial Narrow" w:cs="Times New Roman"/>
                <w:sz w:val="18"/>
                <w:szCs w:val="18"/>
                <w:lang w:val="en-GB"/>
              </w:rPr>
              <w:t xml:space="preserve">, S.M.; </w:t>
            </w:r>
            <w:proofErr w:type="spellStart"/>
            <w:r w:rsidRPr="0028270D">
              <w:rPr>
                <w:rFonts w:ascii="Arial Narrow" w:eastAsia="Calibri" w:hAnsi="Arial Narrow" w:cs="Times New Roman"/>
                <w:sz w:val="18"/>
                <w:szCs w:val="18"/>
                <w:lang w:val="en-GB"/>
              </w:rPr>
              <w:t>Zuhri</w:t>
            </w:r>
            <w:proofErr w:type="spellEnd"/>
            <w:r w:rsidRPr="0028270D">
              <w:rPr>
                <w:rFonts w:ascii="Arial Narrow" w:eastAsia="Calibri" w:hAnsi="Arial Narrow" w:cs="Times New Roman"/>
                <w:sz w:val="18"/>
                <w:szCs w:val="18"/>
                <w:lang w:val="en-GB"/>
              </w:rPr>
              <w:t xml:space="preserve">, M.Y.M.; </w:t>
            </w:r>
            <w:proofErr w:type="spellStart"/>
            <w:r w:rsidRPr="0028270D">
              <w:rPr>
                <w:rFonts w:ascii="Arial Narrow" w:eastAsia="Calibri" w:hAnsi="Arial Narrow" w:cs="Times New Roman"/>
                <w:sz w:val="18"/>
                <w:szCs w:val="18"/>
                <w:lang w:val="en-GB"/>
              </w:rPr>
              <w:t>Zainudin</w:t>
            </w:r>
            <w:proofErr w:type="spellEnd"/>
            <w:r w:rsidRPr="0028270D">
              <w:rPr>
                <w:rFonts w:ascii="Arial Narrow" w:eastAsia="Calibri" w:hAnsi="Arial Narrow" w:cs="Times New Roman"/>
                <w:sz w:val="18"/>
                <w:szCs w:val="18"/>
                <w:lang w:val="en-GB"/>
              </w:rPr>
              <w:t>, E.S.; Al-</w:t>
            </w:r>
            <w:proofErr w:type="spellStart"/>
            <w:r w:rsidRPr="0028270D">
              <w:rPr>
                <w:rFonts w:ascii="Arial Narrow" w:eastAsia="Calibri" w:hAnsi="Arial Narrow" w:cs="Times New Roman"/>
                <w:sz w:val="18"/>
                <w:szCs w:val="18"/>
                <w:lang w:val="en-GB"/>
              </w:rPr>
              <w:t>Oqla</w:t>
            </w:r>
            <w:proofErr w:type="spellEnd"/>
            <w:r w:rsidRPr="0028270D">
              <w:rPr>
                <w:rFonts w:ascii="Arial Narrow" w:eastAsia="Calibri" w:hAnsi="Arial Narrow" w:cs="Times New Roman"/>
                <w:sz w:val="18"/>
                <w:szCs w:val="18"/>
                <w:lang w:val="en-GB"/>
              </w:rPr>
              <w:t xml:space="preserve">, F.M.: Photovoltaic applications: Status and manufacturing prospects, Renew. </w:t>
            </w:r>
            <w:proofErr w:type="spellStart"/>
            <w:r w:rsidRPr="0028270D">
              <w:rPr>
                <w:rFonts w:ascii="Arial Narrow" w:eastAsia="Calibri" w:hAnsi="Arial Narrow" w:cs="Times New Roman"/>
                <w:sz w:val="18"/>
                <w:szCs w:val="18"/>
                <w:lang w:val="en-GB"/>
              </w:rPr>
              <w:t>Sust</w:t>
            </w:r>
            <w:proofErr w:type="spellEnd"/>
            <w:r w:rsidRPr="0028270D">
              <w:rPr>
                <w:rFonts w:ascii="Arial Narrow" w:eastAsia="Calibri" w:hAnsi="Arial Narrow" w:cs="Times New Roman"/>
                <w:sz w:val="18"/>
                <w:szCs w:val="18"/>
                <w:lang w:val="en-GB"/>
              </w:rPr>
              <w:t xml:space="preserve">. </w:t>
            </w:r>
            <w:proofErr w:type="spellStart"/>
            <w:r w:rsidRPr="0028270D">
              <w:rPr>
                <w:rFonts w:ascii="Arial Narrow" w:eastAsia="Calibri" w:hAnsi="Arial Narrow" w:cs="Times New Roman"/>
                <w:sz w:val="18"/>
                <w:szCs w:val="18"/>
                <w:lang w:val="en-GB"/>
              </w:rPr>
              <w:t>Energ</w:t>
            </w:r>
            <w:proofErr w:type="spellEnd"/>
            <w:r w:rsidRPr="0028270D">
              <w:rPr>
                <w:rFonts w:ascii="Arial Narrow" w:eastAsia="Calibri" w:hAnsi="Arial Narrow" w:cs="Times New Roman"/>
                <w:sz w:val="18"/>
                <w:szCs w:val="18"/>
                <w:lang w:val="en-GB"/>
              </w:rPr>
              <w:t>. Rev. 2019, 102, 318-332.</w:t>
            </w:r>
          </w:p>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 xml:space="preserve">7. </w:t>
            </w:r>
            <w:proofErr w:type="spellStart"/>
            <w:r w:rsidRPr="0028270D">
              <w:rPr>
                <w:rFonts w:ascii="Arial Narrow" w:eastAsia="Calibri" w:hAnsi="Arial Narrow" w:cs="Times New Roman"/>
                <w:sz w:val="18"/>
                <w:szCs w:val="18"/>
                <w:lang w:val="en-GB"/>
              </w:rPr>
              <w:t>Rasi</w:t>
            </w:r>
            <w:proofErr w:type="spellEnd"/>
            <w:r w:rsidRPr="0028270D">
              <w:rPr>
                <w:rFonts w:ascii="Arial Narrow" w:eastAsia="Calibri" w:hAnsi="Arial Narrow" w:cs="Times New Roman"/>
                <w:sz w:val="18"/>
                <w:szCs w:val="18"/>
                <w:lang w:val="en-GB"/>
              </w:rPr>
              <w:t xml:space="preserve">, D.D.; Janssen, R.A.J.: Advances in Solution-Processed </w:t>
            </w:r>
            <w:proofErr w:type="spellStart"/>
            <w:r w:rsidRPr="0028270D">
              <w:rPr>
                <w:rFonts w:ascii="Arial Narrow" w:eastAsia="Calibri" w:hAnsi="Arial Narrow" w:cs="Times New Roman"/>
                <w:sz w:val="18"/>
                <w:szCs w:val="18"/>
                <w:lang w:val="en-GB"/>
              </w:rPr>
              <w:t>Multijunction</w:t>
            </w:r>
            <w:proofErr w:type="spellEnd"/>
            <w:r w:rsidRPr="0028270D">
              <w:rPr>
                <w:rFonts w:ascii="Arial Narrow" w:eastAsia="Calibri" w:hAnsi="Arial Narrow" w:cs="Times New Roman"/>
                <w:sz w:val="18"/>
                <w:szCs w:val="18"/>
                <w:lang w:val="en-GB"/>
              </w:rPr>
              <w:t xml:space="preserve"> Organic Solar Cells, Adv. Mater. 2019 (10), 31. </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Average student workload outside classroom</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20 hrs</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Comments</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w:t>
            </w:r>
          </w:p>
        </w:tc>
      </w:tr>
      <w:tr w:rsidR="0028270D" w:rsidRPr="0028270D" w:rsidTr="00E7798D">
        <w:tc>
          <w:tcPr>
            <w:tcW w:w="2235" w:type="dxa"/>
            <w:shd w:val="clear" w:color="auto" w:fill="92D050"/>
          </w:tcPr>
          <w:p w:rsidR="0028270D" w:rsidRPr="0028270D" w:rsidRDefault="0028270D" w:rsidP="0028270D">
            <w:pPr>
              <w:spacing w:after="0" w:line="240" w:lineRule="auto"/>
              <w:jc w:val="both"/>
              <w:rPr>
                <w:rFonts w:ascii="Arial Narrow" w:eastAsia="Calibri" w:hAnsi="Arial Narrow" w:cs="Times New Roman"/>
                <w:b/>
                <w:sz w:val="18"/>
                <w:szCs w:val="18"/>
                <w:lang w:val="en-GB"/>
              </w:rPr>
            </w:pPr>
            <w:r w:rsidRPr="0028270D">
              <w:rPr>
                <w:rFonts w:ascii="Arial Narrow" w:eastAsia="Calibri" w:hAnsi="Arial Narrow" w:cs="Times New Roman"/>
                <w:b/>
                <w:sz w:val="18"/>
                <w:szCs w:val="18"/>
                <w:lang w:val="en-GB"/>
              </w:rPr>
              <w:t>Last update</w:t>
            </w:r>
          </w:p>
        </w:tc>
        <w:tc>
          <w:tcPr>
            <w:tcW w:w="7053" w:type="dxa"/>
            <w:shd w:val="clear" w:color="auto" w:fill="auto"/>
          </w:tcPr>
          <w:p w:rsidR="0028270D" w:rsidRPr="0028270D" w:rsidRDefault="0028270D" w:rsidP="0028270D">
            <w:pPr>
              <w:spacing w:after="0" w:line="240" w:lineRule="auto"/>
              <w:jc w:val="both"/>
              <w:rPr>
                <w:rFonts w:ascii="Arial Narrow" w:eastAsia="Calibri" w:hAnsi="Arial Narrow" w:cs="Times New Roman"/>
                <w:sz w:val="18"/>
                <w:szCs w:val="18"/>
                <w:lang w:val="en-GB"/>
              </w:rPr>
            </w:pPr>
            <w:r w:rsidRPr="0028270D">
              <w:rPr>
                <w:rFonts w:ascii="Arial Narrow" w:eastAsia="Calibri" w:hAnsi="Arial Narrow" w:cs="Times New Roman"/>
                <w:sz w:val="18"/>
                <w:szCs w:val="18"/>
                <w:lang w:val="en-GB"/>
              </w:rPr>
              <w:t>2019-04-12</w:t>
            </w:r>
          </w:p>
        </w:tc>
      </w:tr>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0D"/>
    <w:rsid w:val="0028270D"/>
    <w:rsid w:val="002F0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0000-0001-9576-7551" TargetMode="External"/><Relationship Id="rId5" Type="http://schemas.openxmlformats.org/officeDocument/2006/relationships/hyperlink" Target="https://poczta.p.lodz.pl/CI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1</cp:revision>
  <dcterms:created xsi:type="dcterms:W3CDTF">2019-04-23T15:45:00Z</dcterms:created>
  <dcterms:modified xsi:type="dcterms:W3CDTF">2019-04-23T15:46:00Z</dcterms:modified>
</cp:coreProperties>
</file>