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
        <w:tblW w:w="9322" w:type="dxa"/>
        <w:tblLayout w:type="fixed"/>
        <w:tblLook w:val="04A0" w:firstRow="1" w:lastRow="0" w:firstColumn="1" w:lastColumn="0" w:noHBand="0" w:noVBand="1"/>
      </w:tblPr>
      <w:tblGrid>
        <w:gridCol w:w="2235"/>
        <w:gridCol w:w="7087"/>
      </w:tblGrid>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bookmarkStart w:id="0" w:name="_GoBack"/>
            <w:bookmarkEnd w:id="0"/>
            <w:r w:rsidRPr="00AE3784">
              <w:rPr>
                <w:rFonts w:ascii="Arial Narrow" w:hAnsi="Arial Narrow"/>
                <w:b/>
                <w:sz w:val="18"/>
                <w:szCs w:val="18"/>
              </w:rPr>
              <w:t>Course code</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CC4</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Type and description</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b/>
                <w:sz w:val="18"/>
                <w:szCs w:val="18"/>
              </w:rPr>
              <w:t>CC</w:t>
            </w:r>
            <w:r w:rsidRPr="00AE3784">
              <w:rPr>
                <w:rFonts w:ascii="Arial Narrow" w:hAnsi="Arial Narrow"/>
                <w:sz w:val="18"/>
                <w:szCs w:val="18"/>
              </w:rPr>
              <w:t xml:space="preserve"> - Core Course</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ECTS credits</w:t>
            </w:r>
          </w:p>
        </w:tc>
        <w:tc>
          <w:tcPr>
            <w:tcW w:w="7087" w:type="dxa"/>
          </w:tcPr>
          <w:p w:rsidR="00AE3784" w:rsidRPr="00AE3784" w:rsidRDefault="005D1B46" w:rsidP="00AE3784">
            <w:pPr>
              <w:jc w:val="both"/>
              <w:rPr>
                <w:rFonts w:ascii="Arial Narrow" w:hAnsi="Arial Narrow"/>
                <w:sz w:val="18"/>
                <w:szCs w:val="18"/>
              </w:rPr>
            </w:pPr>
            <w:r>
              <w:rPr>
                <w:rFonts w:ascii="Arial Narrow" w:hAnsi="Arial Narrow"/>
                <w:sz w:val="18"/>
                <w:szCs w:val="18"/>
              </w:rPr>
              <w:t>2</w:t>
            </w:r>
          </w:p>
        </w:tc>
      </w:tr>
      <w:tr w:rsidR="00AE3784" w:rsidRPr="00CE0E1C"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Course name</w:t>
            </w:r>
          </w:p>
        </w:tc>
        <w:tc>
          <w:tcPr>
            <w:tcW w:w="7087" w:type="dxa"/>
          </w:tcPr>
          <w:p w:rsidR="00AE3784" w:rsidRPr="00AE3784" w:rsidRDefault="00AE3784" w:rsidP="00AE3784">
            <w:pPr>
              <w:jc w:val="both"/>
              <w:rPr>
                <w:rFonts w:ascii="Arial Narrow" w:hAnsi="Arial Narrow"/>
                <w:b/>
                <w:sz w:val="18"/>
                <w:szCs w:val="18"/>
                <w:lang w:val="en-US"/>
              </w:rPr>
            </w:pPr>
            <w:r w:rsidRPr="00AE3784">
              <w:rPr>
                <w:rFonts w:ascii="Arial Narrow" w:hAnsi="Arial Narrow"/>
                <w:b/>
                <w:sz w:val="18"/>
                <w:szCs w:val="18"/>
                <w:lang w:val="en-US"/>
              </w:rPr>
              <w:t>Advanced Molecular and Macromolecular Materials Science</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Course name in Polish</w:t>
            </w:r>
          </w:p>
        </w:tc>
        <w:tc>
          <w:tcPr>
            <w:tcW w:w="7087" w:type="dxa"/>
          </w:tcPr>
          <w:p w:rsidR="00AE3784" w:rsidRPr="00AE3784" w:rsidRDefault="00AE3784" w:rsidP="00AE3784">
            <w:pPr>
              <w:jc w:val="both"/>
              <w:rPr>
                <w:rFonts w:ascii="Arial Narrow" w:hAnsi="Arial Narrow"/>
                <w:sz w:val="18"/>
                <w:szCs w:val="18"/>
                <w:lang w:val="pl-PL"/>
              </w:rPr>
            </w:pPr>
            <w:r w:rsidRPr="00AE3784">
              <w:rPr>
                <w:rFonts w:ascii="Arial Narrow" w:hAnsi="Arial Narrow"/>
                <w:sz w:val="18"/>
                <w:szCs w:val="18"/>
                <w:lang w:val="pl-PL"/>
              </w:rPr>
              <w:t>Zaawansowana Inżynieria Materiałów Molekularnych i Makromolekularnych</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Language of instruction</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English</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Course level</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8 PRK</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Course coordinator</w:t>
            </w:r>
          </w:p>
        </w:tc>
        <w:tc>
          <w:tcPr>
            <w:tcW w:w="7087" w:type="dxa"/>
          </w:tcPr>
          <w:p w:rsidR="00AE3784" w:rsidRPr="005D1B46" w:rsidRDefault="00AE3784" w:rsidP="00AE3784">
            <w:pPr>
              <w:jc w:val="both"/>
              <w:rPr>
                <w:rFonts w:ascii="Arial Narrow" w:hAnsi="Arial Narrow"/>
                <w:sz w:val="18"/>
                <w:szCs w:val="18"/>
                <w:lang w:val="pl-PL"/>
              </w:rPr>
            </w:pPr>
            <w:r w:rsidRPr="00AE3784">
              <w:rPr>
                <w:rFonts w:ascii="Arial Narrow" w:hAnsi="Arial Narrow"/>
                <w:sz w:val="18"/>
                <w:szCs w:val="18"/>
                <w:lang w:val="pl-PL"/>
              </w:rPr>
              <w:t xml:space="preserve">prof. dr hab. Krzysztof Matyjaszewski / prof. dr hab. </w:t>
            </w:r>
            <w:r w:rsidRPr="005D1B46">
              <w:rPr>
                <w:rFonts w:ascii="Arial Narrow" w:hAnsi="Arial Narrow"/>
                <w:sz w:val="18"/>
                <w:szCs w:val="18"/>
                <w:lang w:val="pl-PL"/>
              </w:rPr>
              <w:t>Wojciech Pisula</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Course instructors</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lang w:val="pl-PL"/>
              </w:rPr>
              <w:t xml:space="preserve">prof. dr hab. Krzysztof Matyjaszewski, prof. dr hab. Wojciech Pisula, dr hab. inż. Joanna Pietrasik, prof. dr hab. Jacek Ulański, dr hab. inż. </w:t>
            </w:r>
            <w:r w:rsidRPr="00AE3784">
              <w:rPr>
                <w:rFonts w:ascii="Arial Narrow" w:hAnsi="Arial Narrow"/>
                <w:sz w:val="18"/>
                <w:szCs w:val="18"/>
              </w:rPr>
              <w:t>Beata Łuszczyńska</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Delivery methods and course duration</w:t>
            </w:r>
          </w:p>
        </w:tc>
        <w:tc>
          <w:tcPr>
            <w:tcW w:w="7087" w:type="dxa"/>
          </w:tcPr>
          <w:tbl>
            <w:tblPr>
              <w:tblW w:w="7054" w:type="dxa"/>
              <w:tblCellSpacing w:w="15" w:type="dxa"/>
              <w:tblBorders>
                <w:top w:val="single" w:sz="6" w:space="0" w:color="666666"/>
                <w:left w:val="single" w:sz="6" w:space="0" w:color="666666"/>
                <w:bottom w:val="single" w:sz="6" w:space="0" w:color="666666"/>
                <w:right w:val="single" w:sz="6" w:space="0" w:color="666666"/>
              </w:tblBorders>
              <w:tblLayout w:type="fixed"/>
              <w:tblCellMar>
                <w:left w:w="0" w:type="dxa"/>
                <w:right w:w="0" w:type="dxa"/>
              </w:tblCellMar>
              <w:tblLook w:val="04A0" w:firstRow="1" w:lastRow="0" w:firstColumn="1" w:lastColumn="0" w:noHBand="0" w:noVBand="1"/>
            </w:tblPr>
            <w:tblGrid>
              <w:gridCol w:w="1056"/>
              <w:gridCol w:w="635"/>
              <w:gridCol w:w="709"/>
              <w:gridCol w:w="851"/>
              <w:gridCol w:w="708"/>
              <w:gridCol w:w="709"/>
              <w:gridCol w:w="801"/>
              <w:gridCol w:w="1585"/>
            </w:tblGrid>
            <w:tr w:rsidR="00AE3784" w:rsidRPr="00CE0E1C" w:rsidTr="00E7798D">
              <w:trPr>
                <w:tblHeader/>
                <w:tblCellSpacing w:w="15" w:type="dxa"/>
              </w:trPr>
              <w:tc>
                <w:tcPr>
                  <w:tcW w:w="1011"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p>
              </w:tc>
              <w:tc>
                <w:tcPr>
                  <w:tcW w:w="605"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r w:rsidRPr="00AE3784">
                    <w:rPr>
                      <w:rFonts w:ascii="Arial Narrow" w:eastAsia="Times New Roman" w:hAnsi="Arial Narrow" w:cs="Times New Roman"/>
                      <w:b/>
                      <w:bCs/>
                      <w:sz w:val="14"/>
                      <w:szCs w:val="14"/>
                      <w:lang w:val="en-GB" w:eastAsia="en-GB"/>
                    </w:rPr>
                    <w:t>Lecture</w:t>
                  </w:r>
                </w:p>
              </w:tc>
              <w:tc>
                <w:tcPr>
                  <w:tcW w:w="679"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r w:rsidRPr="00AE3784">
                    <w:rPr>
                      <w:rFonts w:ascii="Arial Narrow" w:eastAsia="Times New Roman" w:hAnsi="Arial Narrow" w:cs="Times New Roman"/>
                      <w:b/>
                      <w:bCs/>
                      <w:sz w:val="14"/>
                      <w:szCs w:val="14"/>
                      <w:lang w:val="en-GB" w:eastAsia="en-GB"/>
                    </w:rPr>
                    <w:t>Tutorials</w:t>
                  </w:r>
                </w:p>
              </w:tc>
              <w:tc>
                <w:tcPr>
                  <w:tcW w:w="821"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r w:rsidRPr="00AE3784">
                    <w:rPr>
                      <w:rFonts w:ascii="Arial Narrow" w:eastAsia="Times New Roman" w:hAnsi="Arial Narrow" w:cs="Times New Roman"/>
                      <w:b/>
                      <w:bCs/>
                      <w:sz w:val="14"/>
                      <w:szCs w:val="14"/>
                      <w:lang w:val="en-GB" w:eastAsia="en-GB"/>
                    </w:rPr>
                    <w:t>Laboratory</w:t>
                  </w:r>
                </w:p>
              </w:tc>
              <w:tc>
                <w:tcPr>
                  <w:tcW w:w="678"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r w:rsidRPr="00AE3784">
                    <w:rPr>
                      <w:rFonts w:ascii="Arial Narrow" w:eastAsia="Times New Roman" w:hAnsi="Arial Narrow" w:cs="Times New Roman"/>
                      <w:b/>
                      <w:bCs/>
                      <w:sz w:val="14"/>
                      <w:szCs w:val="14"/>
                      <w:lang w:val="en-GB" w:eastAsia="en-GB"/>
                    </w:rPr>
                    <w:t>Project</w:t>
                  </w:r>
                </w:p>
              </w:tc>
              <w:tc>
                <w:tcPr>
                  <w:tcW w:w="679"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r w:rsidRPr="00AE3784">
                    <w:rPr>
                      <w:rFonts w:ascii="Arial Narrow" w:eastAsia="Times New Roman" w:hAnsi="Arial Narrow" w:cs="Times New Roman"/>
                      <w:b/>
                      <w:bCs/>
                      <w:sz w:val="14"/>
                      <w:szCs w:val="14"/>
                      <w:lang w:val="en-GB" w:eastAsia="en-GB"/>
                    </w:rPr>
                    <w:t>Seminar</w:t>
                  </w:r>
                </w:p>
              </w:tc>
              <w:tc>
                <w:tcPr>
                  <w:tcW w:w="771"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r w:rsidRPr="00AE3784">
                    <w:rPr>
                      <w:rFonts w:ascii="Arial Narrow" w:eastAsia="Times New Roman" w:hAnsi="Arial Narrow" w:cs="Times New Roman"/>
                      <w:b/>
                      <w:bCs/>
                      <w:sz w:val="14"/>
                      <w:szCs w:val="14"/>
                      <w:lang w:val="en-GB" w:eastAsia="en-GB"/>
                    </w:rPr>
                    <w:t>Other</w:t>
                  </w:r>
                </w:p>
              </w:tc>
              <w:tc>
                <w:tcPr>
                  <w:tcW w:w="1540" w:type="dxa"/>
                  <w:shd w:val="clear" w:color="auto" w:fill="CCCCCC"/>
                  <w:tcMar>
                    <w:top w:w="30" w:type="dxa"/>
                    <w:left w:w="30" w:type="dxa"/>
                    <w:bottom w:w="30" w:type="dxa"/>
                    <w:right w:w="3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b/>
                      <w:bCs/>
                      <w:sz w:val="14"/>
                      <w:szCs w:val="14"/>
                      <w:lang w:val="en-GB" w:eastAsia="en-GB"/>
                    </w:rPr>
                  </w:pPr>
                  <w:r w:rsidRPr="00AE3784">
                    <w:rPr>
                      <w:rFonts w:ascii="Arial Narrow" w:eastAsia="Times New Roman" w:hAnsi="Arial Narrow" w:cs="Times New Roman"/>
                      <w:b/>
                      <w:bCs/>
                      <w:sz w:val="14"/>
                      <w:szCs w:val="14"/>
                      <w:lang w:val="en-GB" w:eastAsia="en-GB"/>
                    </w:rPr>
                    <w:t>Total of teaching hours during semester</w:t>
                  </w:r>
                </w:p>
              </w:tc>
            </w:tr>
            <w:tr w:rsidR="00AE3784" w:rsidRPr="00AE3784" w:rsidTr="00E7798D">
              <w:trPr>
                <w:tblCellSpacing w:w="15" w:type="dxa"/>
              </w:trPr>
              <w:tc>
                <w:tcPr>
                  <w:tcW w:w="1011"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rPr>
                      <w:rFonts w:ascii="Calibri" w:eastAsia="Calibri" w:hAnsi="Calibri" w:cs="Times New Roman"/>
                      <w:lang w:val="en-GB"/>
                    </w:rPr>
                  </w:pPr>
                  <w:r w:rsidRPr="00AE3784">
                    <w:rPr>
                      <w:rFonts w:ascii="Arial Narrow" w:eastAsia="Times New Roman" w:hAnsi="Arial Narrow" w:cs="Times New Roman"/>
                      <w:sz w:val="14"/>
                      <w:szCs w:val="14"/>
                      <w:lang w:val="en-GB" w:eastAsia="en-GB"/>
                    </w:rPr>
                    <w:t>Contact</w:t>
                  </w:r>
                  <w:r w:rsidRPr="00AE3784">
                    <w:rPr>
                      <w:rFonts w:ascii="Calibri" w:eastAsia="Calibri" w:hAnsi="Calibri" w:cs="Times New Roman"/>
                      <w:lang w:val="en-GB"/>
                    </w:rPr>
                    <w:t xml:space="preserve"> </w:t>
                  </w:r>
                  <w:r w:rsidRPr="00AE3784">
                    <w:rPr>
                      <w:rFonts w:ascii="Arial Narrow" w:eastAsia="Calibri" w:hAnsi="Arial Narrow" w:cs="Times New Roman"/>
                      <w:sz w:val="14"/>
                      <w:szCs w:val="14"/>
                      <w:lang w:val="en-GB"/>
                    </w:rPr>
                    <w:t>hours</w:t>
                  </w:r>
                </w:p>
              </w:tc>
              <w:tc>
                <w:tcPr>
                  <w:tcW w:w="605"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30</w:t>
                  </w:r>
                </w:p>
              </w:tc>
              <w:tc>
                <w:tcPr>
                  <w:tcW w:w="679"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w:t>
                  </w:r>
                </w:p>
              </w:tc>
              <w:tc>
                <w:tcPr>
                  <w:tcW w:w="821"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w:t>
                  </w:r>
                </w:p>
              </w:tc>
              <w:tc>
                <w:tcPr>
                  <w:tcW w:w="678"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7</w:t>
                  </w:r>
                </w:p>
              </w:tc>
              <w:tc>
                <w:tcPr>
                  <w:tcW w:w="679"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8</w:t>
                  </w:r>
                </w:p>
              </w:tc>
              <w:tc>
                <w:tcPr>
                  <w:tcW w:w="771"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w:t>
                  </w:r>
                </w:p>
              </w:tc>
              <w:tc>
                <w:tcPr>
                  <w:tcW w:w="1540"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45</w:t>
                  </w:r>
                </w:p>
              </w:tc>
            </w:tr>
            <w:tr w:rsidR="00AE3784" w:rsidRPr="00AE3784" w:rsidTr="00E7798D">
              <w:trPr>
                <w:tblCellSpacing w:w="15" w:type="dxa"/>
              </w:trPr>
              <w:tc>
                <w:tcPr>
                  <w:tcW w:w="1011" w:type="dxa"/>
                  <w:tcMar>
                    <w:top w:w="60" w:type="dxa"/>
                    <w:left w:w="60" w:type="dxa"/>
                    <w:bottom w:w="60" w:type="dxa"/>
                    <w:right w:w="60" w:type="dxa"/>
                  </w:tcMar>
                  <w:vAlign w:val="center"/>
                  <w:hideMark/>
                </w:tcPr>
                <w:p w:rsidR="00AE3784" w:rsidRPr="00AE3784" w:rsidRDefault="00AE3784" w:rsidP="00AE3784">
                  <w:pPr>
                    <w:spacing w:after="0" w:line="240" w:lineRule="auto"/>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E-learning</w:t>
                  </w:r>
                </w:p>
              </w:tc>
              <w:tc>
                <w:tcPr>
                  <w:tcW w:w="605" w:type="dxa"/>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No</w:t>
                  </w:r>
                </w:p>
              </w:tc>
              <w:tc>
                <w:tcPr>
                  <w:tcW w:w="821" w:type="dxa"/>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No</w:t>
                  </w:r>
                </w:p>
              </w:tc>
              <w:tc>
                <w:tcPr>
                  <w:tcW w:w="678" w:type="dxa"/>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No</w:t>
                  </w:r>
                </w:p>
              </w:tc>
              <w:tc>
                <w:tcPr>
                  <w:tcW w:w="679" w:type="dxa"/>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No</w:t>
                  </w:r>
                </w:p>
              </w:tc>
              <w:tc>
                <w:tcPr>
                  <w:tcW w:w="771" w:type="dxa"/>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No</w:t>
                  </w:r>
                </w:p>
              </w:tc>
              <w:tc>
                <w:tcPr>
                  <w:tcW w:w="1540" w:type="dxa"/>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p>
              </w:tc>
            </w:tr>
            <w:tr w:rsidR="00AE3784" w:rsidRPr="00AE3784" w:rsidTr="00E7798D">
              <w:trPr>
                <w:tblCellSpacing w:w="15" w:type="dxa"/>
              </w:trPr>
              <w:tc>
                <w:tcPr>
                  <w:tcW w:w="1011"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Assessment criteria (weightage)</w:t>
                  </w:r>
                </w:p>
              </w:tc>
              <w:tc>
                <w:tcPr>
                  <w:tcW w:w="605"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0.60</w:t>
                  </w:r>
                </w:p>
              </w:tc>
              <w:tc>
                <w:tcPr>
                  <w:tcW w:w="679"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0.00</w:t>
                  </w:r>
                </w:p>
              </w:tc>
              <w:tc>
                <w:tcPr>
                  <w:tcW w:w="821"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0.00</w:t>
                  </w:r>
                </w:p>
              </w:tc>
              <w:tc>
                <w:tcPr>
                  <w:tcW w:w="678"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0.30</w:t>
                  </w:r>
                </w:p>
              </w:tc>
              <w:tc>
                <w:tcPr>
                  <w:tcW w:w="679"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0.10</w:t>
                  </w:r>
                </w:p>
              </w:tc>
              <w:tc>
                <w:tcPr>
                  <w:tcW w:w="771"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r w:rsidRPr="00AE3784">
                    <w:rPr>
                      <w:rFonts w:ascii="Arial Narrow" w:eastAsia="Times New Roman" w:hAnsi="Arial Narrow" w:cs="Times New Roman"/>
                      <w:sz w:val="14"/>
                      <w:szCs w:val="14"/>
                      <w:lang w:val="en-GB" w:eastAsia="en-GB"/>
                    </w:rPr>
                    <w:t>0.00</w:t>
                  </w:r>
                </w:p>
              </w:tc>
              <w:tc>
                <w:tcPr>
                  <w:tcW w:w="1540" w:type="dxa"/>
                  <w:shd w:val="clear" w:color="auto" w:fill="EEEEEE"/>
                  <w:tcMar>
                    <w:top w:w="60" w:type="dxa"/>
                    <w:left w:w="60" w:type="dxa"/>
                    <w:bottom w:w="60" w:type="dxa"/>
                    <w:right w:w="60" w:type="dxa"/>
                  </w:tcMar>
                  <w:vAlign w:val="center"/>
                  <w:hideMark/>
                </w:tcPr>
                <w:p w:rsidR="00AE3784" w:rsidRPr="00AE3784" w:rsidRDefault="00AE3784" w:rsidP="00AE3784">
                  <w:pPr>
                    <w:spacing w:after="0" w:line="240" w:lineRule="auto"/>
                    <w:jc w:val="center"/>
                    <w:rPr>
                      <w:rFonts w:ascii="Arial Narrow" w:eastAsia="Times New Roman" w:hAnsi="Arial Narrow" w:cs="Times New Roman"/>
                      <w:sz w:val="14"/>
                      <w:szCs w:val="14"/>
                      <w:lang w:val="en-GB" w:eastAsia="en-GB"/>
                    </w:rPr>
                  </w:pPr>
                </w:p>
              </w:tc>
            </w:tr>
          </w:tbl>
          <w:p w:rsidR="00AE3784" w:rsidRPr="00AE3784" w:rsidRDefault="00AE3784" w:rsidP="00AE3784">
            <w:pPr>
              <w:jc w:val="both"/>
              <w:rPr>
                <w:rFonts w:ascii="Arial Narrow" w:hAnsi="Arial Narrow"/>
                <w:sz w:val="18"/>
                <w:szCs w:val="18"/>
              </w:rPr>
            </w:pPr>
          </w:p>
        </w:tc>
      </w:tr>
      <w:tr w:rsidR="00AE3784" w:rsidRPr="00CE0E1C"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Course objective</w:t>
            </w:r>
          </w:p>
        </w:tc>
        <w:tc>
          <w:tcPr>
            <w:tcW w:w="7087" w:type="dxa"/>
          </w:tcPr>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The aim of the course is to enable students to acquire knowledge in the field of the relationship between the chemical and supramolecular structure and the properties of molecular and macromolecular materials.</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In particular, problems of molecular materials and nanomaterials as well as macromolecular engineering will be discussed from the point of view of materials applications.</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
              </w:rPr>
              <w:t>Students get acquainted with advanced methods of synthesis and processing of functional materials, such as, for example, reversible deactivation radical polymerizations, self-assembly, etc.</w:t>
            </w:r>
          </w:p>
        </w:tc>
      </w:tr>
      <w:tr w:rsidR="00AE3784" w:rsidRPr="00CE0E1C"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Learning outcomes</w:t>
            </w:r>
          </w:p>
        </w:tc>
        <w:tc>
          <w:tcPr>
            <w:tcW w:w="7087" w:type="dxa"/>
          </w:tcPr>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A PhD student after completing the course can:</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
              </w:rPr>
              <w:t xml:space="preserve">1. characterize the relationship between structure and material properties - effects </w:t>
            </w:r>
            <w:r w:rsidRPr="00AE3784">
              <w:rPr>
                <w:rFonts w:ascii="Arial Narrow" w:hAnsi="Arial Narrow"/>
                <w:b/>
                <w:i/>
                <w:sz w:val="18"/>
                <w:szCs w:val="18"/>
                <w:lang w:val="en-US"/>
              </w:rPr>
              <w:t>W1 P8S_EG, U1 P8S_UW</w:t>
            </w:r>
          </w:p>
          <w:p w:rsidR="00AE3784" w:rsidRPr="00AE3784" w:rsidRDefault="00AE3784" w:rsidP="00AE3784">
            <w:pPr>
              <w:jc w:val="both"/>
              <w:rPr>
                <w:rFonts w:ascii="Arial Narrow" w:hAnsi="Arial Narrow"/>
                <w:b/>
                <w:i/>
                <w:sz w:val="18"/>
                <w:szCs w:val="18"/>
                <w:lang w:val="en-US"/>
              </w:rPr>
            </w:pPr>
            <w:r w:rsidRPr="00AE3784">
              <w:rPr>
                <w:rFonts w:ascii="Arial Narrow" w:hAnsi="Arial Narrow"/>
                <w:sz w:val="18"/>
                <w:szCs w:val="18"/>
                <w:lang w:val="en"/>
              </w:rPr>
              <w:t xml:space="preserve">2. describe the theoretical basis defining the properties of materials - effects </w:t>
            </w:r>
            <w:r w:rsidRPr="00AE3784">
              <w:rPr>
                <w:rFonts w:ascii="Arial Narrow" w:hAnsi="Arial Narrow"/>
                <w:b/>
                <w:i/>
                <w:sz w:val="18"/>
                <w:szCs w:val="18"/>
                <w:lang w:val="en-US"/>
              </w:rPr>
              <w:t>W1 P8S_EG, U1 P8S_UW</w:t>
            </w:r>
          </w:p>
          <w:p w:rsidR="00AE3784" w:rsidRPr="00AE3784" w:rsidRDefault="00AE3784" w:rsidP="00AE3784">
            <w:pPr>
              <w:jc w:val="both"/>
              <w:rPr>
                <w:rFonts w:ascii="Arial Narrow" w:hAnsi="Arial Narrow"/>
                <w:b/>
                <w:i/>
                <w:sz w:val="18"/>
                <w:szCs w:val="18"/>
                <w:lang w:val="en-US"/>
              </w:rPr>
            </w:pPr>
            <w:r w:rsidRPr="00AE3784">
              <w:rPr>
                <w:rFonts w:ascii="Arial Narrow" w:hAnsi="Arial Narrow"/>
                <w:sz w:val="18"/>
                <w:szCs w:val="18"/>
                <w:lang w:val="en"/>
              </w:rPr>
              <w:t xml:space="preserve">3. choose appropriate methods of synthesis and material processing - effects - </w:t>
            </w:r>
            <w:r w:rsidRPr="00AE3784">
              <w:rPr>
                <w:rFonts w:ascii="Arial Narrow" w:hAnsi="Arial Narrow"/>
                <w:b/>
                <w:i/>
                <w:sz w:val="18"/>
                <w:szCs w:val="18"/>
                <w:lang w:val="en-US"/>
              </w:rPr>
              <w:t>W1 P8S_EG, U1 P8S_UW, K1 P8S_KK</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Assessment methods</w:t>
            </w:r>
          </w:p>
        </w:tc>
        <w:tc>
          <w:tcPr>
            <w:tcW w:w="7087" w:type="dxa"/>
          </w:tcPr>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Verification methods of learning outcomes</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 xml:space="preserve">effects </w:t>
            </w:r>
            <w:r w:rsidRPr="00AE3784">
              <w:rPr>
                <w:rFonts w:ascii="Arial Narrow" w:hAnsi="Arial Narrow"/>
                <w:b/>
                <w:i/>
                <w:sz w:val="18"/>
                <w:szCs w:val="18"/>
                <w:lang w:val="en-US"/>
              </w:rPr>
              <w:t>W1 P8S_EG, U1 P8S_UW, K1 P8S_KK</w:t>
            </w:r>
            <w:r w:rsidRPr="00AE3784">
              <w:rPr>
                <w:rFonts w:ascii="Arial Narrow" w:hAnsi="Arial Narrow"/>
                <w:sz w:val="18"/>
                <w:szCs w:val="18"/>
                <w:lang w:val="en"/>
              </w:rPr>
              <w:t xml:space="preserve"> - written exam</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 xml:space="preserve">effect </w:t>
            </w:r>
            <w:r w:rsidRPr="00AE3784">
              <w:rPr>
                <w:rFonts w:ascii="Arial Narrow" w:hAnsi="Arial Narrow"/>
                <w:b/>
                <w:i/>
                <w:sz w:val="18"/>
                <w:szCs w:val="18"/>
                <w:lang w:val="en-US"/>
              </w:rPr>
              <w:t>W1 P8S_EG, U1 P8S_UW, K1 P8S_KK</w:t>
            </w:r>
            <w:r w:rsidRPr="00AE3784">
              <w:rPr>
                <w:rFonts w:ascii="Arial Narrow" w:hAnsi="Arial Narrow"/>
                <w:sz w:val="18"/>
                <w:szCs w:val="18"/>
                <w:lang w:val="en"/>
              </w:rPr>
              <w:t xml:space="preserve"> - project preparation</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 xml:space="preserve">effect </w:t>
            </w:r>
            <w:r w:rsidRPr="00AE3784">
              <w:rPr>
                <w:rFonts w:ascii="Arial Narrow" w:hAnsi="Arial Narrow"/>
                <w:b/>
                <w:i/>
                <w:sz w:val="18"/>
                <w:szCs w:val="18"/>
                <w:lang w:val="en-US"/>
              </w:rPr>
              <w:t>K1 P8S_KK</w:t>
            </w:r>
            <w:r w:rsidRPr="00AE3784">
              <w:rPr>
                <w:rFonts w:ascii="Arial Narrow" w:hAnsi="Arial Narrow"/>
                <w:sz w:val="18"/>
                <w:szCs w:val="18"/>
                <w:lang w:val="en"/>
              </w:rPr>
              <w:t xml:space="preserve"> - project presentation</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The final grade consists of:</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The result of the written exam - 60%</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Result from the project evaluation - 30</w:t>
            </w:r>
          </w:p>
          <w:p w:rsidR="00AE3784" w:rsidRPr="00AE3784" w:rsidRDefault="00AE3784" w:rsidP="00AE3784">
            <w:pPr>
              <w:jc w:val="both"/>
              <w:rPr>
                <w:rFonts w:ascii="Arial Narrow" w:hAnsi="Arial Narrow"/>
                <w:sz w:val="18"/>
                <w:szCs w:val="18"/>
              </w:rPr>
            </w:pPr>
            <w:r w:rsidRPr="00AE3784">
              <w:rPr>
                <w:rFonts w:ascii="Arial Narrow" w:hAnsi="Arial Narrow"/>
                <w:sz w:val="18"/>
                <w:szCs w:val="18"/>
                <w:lang w:val="en"/>
              </w:rPr>
              <w:t>Presentation - 10%</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Prerequisites</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none</w:t>
            </w:r>
          </w:p>
        </w:tc>
      </w:tr>
      <w:tr w:rsidR="00AE3784" w:rsidRPr="00CE0E1C"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Course content with delivery methods</w:t>
            </w:r>
          </w:p>
        </w:tc>
        <w:tc>
          <w:tcPr>
            <w:tcW w:w="7087" w:type="dxa"/>
          </w:tcPr>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LECTURE, part I</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Introduction to the macromolecular engineering; living and controlled polymerization</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The basic elements of controlled ion polymerization</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Basics of controlled radical polymerization</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Atom Transfer Radical Polymerization (ATRP))</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ATRP - synthesis (catalysts and initiators)</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Architectural control of macromolecules - topology (branched, comb-branched macromolecules)</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Architecture control of macromolecules - composition of copolymers (statistical, block, gradient copolymers)</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Architecture control of macromolecules - functionalization</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Hybrid polymers with inorganic and biological elements</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
              </w:rPr>
              <w:t>Applications and industrial products obtained by controlled polymerization methods</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US"/>
              </w:rPr>
              <w:t>LECTURE, part II</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Selected, current issues in chemistry and physics of organic solids (molecular crystals, liquid crystals, amorphous materials, polymers) and nanomaterials (nanoparticles, nanocomposites) organic, inorganic and hybrid and used in the field of nanotechnology.</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Relations between the chemical structure and supramolecular structure, and properties of molecular materials and nanomaterials.</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The role of self-organization in the production of molecular materials and nanomaterials with the desired supramolecular structure.</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The possibilities of their applications in electronics, biology, environmental protection and medicine.</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PROJECT</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Designing the molecular structure of polymers with a specific target application.</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Development of a methodology for the production of molecular materials and functional nanomaterials using advanced processing methods.</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t>SEMINAR</w:t>
            </w:r>
          </w:p>
          <w:p w:rsidR="00AE3784" w:rsidRPr="00AE3784" w:rsidRDefault="00AE3784" w:rsidP="00AE3784">
            <w:pPr>
              <w:jc w:val="both"/>
              <w:rPr>
                <w:rFonts w:ascii="Arial Narrow" w:hAnsi="Arial Narrow"/>
                <w:sz w:val="18"/>
                <w:szCs w:val="18"/>
                <w:lang w:val="en"/>
              </w:rPr>
            </w:pPr>
            <w:r w:rsidRPr="00AE3784">
              <w:rPr>
                <w:rFonts w:ascii="Arial Narrow" w:hAnsi="Arial Narrow"/>
                <w:sz w:val="18"/>
                <w:szCs w:val="18"/>
                <w:lang w:val="en"/>
              </w:rPr>
              <w:lastRenderedPageBreak/>
              <w:t>Critical analysis of the literature related to the discussed research problems.</w:t>
            </w:r>
          </w:p>
        </w:tc>
      </w:tr>
      <w:tr w:rsidR="00AE3784" w:rsidRPr="00CE0E1C"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lastRenderedPageBreak/>
              <w:t>Basic reference materials</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 xml:space="preserve">1. Tutor’s materials. </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rPr>
              <w:t xml:space="preserve">2. A.H.E. Mueller, K. Matyjaszewski; eds.: </w:t>
            </w:r>
            <w:r w:rsidRPr="00AE3784">
              <w:rPr>
                <w:rFonts w:ascii="Arial Narrow" w:hAnsi="Arial Narrow"/>
                <w:sz w:val="18"/>
                <w:szCs w:val="18"/>
                <w:lang w:val="en-US"/>
              </w:rPr>
              <w:t>Controlled and Living Polymerizations: From Mechanisms to Materials, Wiley-VCH, Weinheim, 2009.</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US"/>
              </w:rPr>
              <w:t>3. T.P. Davis, K. Matyjaszewski eds.: Handbook of Radical Polymerization, Willey, 2002.</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US"/>
              </w:rPr>
              <w:t>4. K. Matyjaszewski, Y. Gnanou, L. Leibler eds.: Macromolecular Engineering: Precise Synthesis, Materials Properties, Applications - Volume 1-4, Willey-VCH, 2007.</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US"/>
              </w:rPr>
              <w:t>5. B. Łuszczyńska, K. Matyjaszewski, J. Ulański eds.: Solution processable components for organic electronics, Wiley VCH, 2019.</w:t>
            </w:r>
          </w:p>
          <w:p w:rsidR="00AE3784" w:rsidRPr="00AE3784" w:rsidRDefault="00AE3784" w:rsidP="00AE3784">
            <w:pPr>
              <w:jc w:val="both"/>
              <w:rPr>
                <w:rFonts w:ascii="Arial Narrow" w:hAnsi="Arial Narrow"/>
                <w:sz w:val="18"/>
                <w:szCs w:val="18"/>
              </w:rPr>
            </w:pPr>
            <w:r w:rsidRPr="00AE3784">
              <w:rPr>
                <w:rFonts w:ascii="Arial Narrow" w:hAnsi="Arial Narrow"/>
                <w:sz w:val="18"/>
                <w:szCs w:val="18"/>
              </w:rPr>
              <w:t>6. A.G. Davies, J.M.T. Thompson eds.: Advances in Nanoengineering, Imperial College Press, London 2007.</w:t>
            </w:r>
          </w:p>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US"/>
              </w:rPr>
              <w:t>7. W. Jones: Organic Molecular Solids, Properties and Applications, CRC, New York.</w:t>
            </w:r>
          </w:p>
          <w:p w:rsidR="00AE3784" w:rsidRPr="00AE3784" w:rsidRDefault="00AE3784" w:rsidP="00AE3784">
            <w:pPr>
              <w:jc w:val="both"/>
              <w:rPr>
                <w:rFonts w:ascii="Arial Narrow" w:hAnsi="Arial Narrow"/>
                <w:sz w:val="18"/>
                <w:szCs w:val="18"/>
              </w:rPr>
            </w:pPr>
            <w:r w:rsidRPr="00AE3784">
              <w:rPr>
                <w:rFonts w:ascii="Arial Narrow" w:hAnsi="Arial Narrow"/>
                <w:sz w:val="18"/>
                <w:szCs w:val="18"/>
              </w:rPr>
              <w:t>8. H. Masuhara, H. Nakanishi, K. Sasaki eds.: Single Organic Nanoparticles, Springer, 2003.</w:t>
            </w:r>
          </w:p>
          <w:p w:rsidR="00AE3784" w:rsidRPr="00AE3784" w:rsidRDefault="00AE3784" w:rsidP="00AE3784">
            <w:pPr>
              <w:jc w:val="both"/>
              <w:rPr>
                <w:rFonts w:ascii="Arial Narrow" w:hAnsi="Arial Narrow"/>
                <w:sz w:val="18"/>
                <w:szCs w:val="18"/>
              </w:rPr>
            </w:pPr>
            <w:r w:rsidRPr="00AE3784">
              <w:rPr>
                <w:rFonts w:ascii="Arial Narrow" w:hAnsi="Arial Narrow"/>
                <w:sz w:val="18"/>
                <w:szCs w:val="18"/>
              </w:rPr>
              <w:t>9. V. Balzani, M. Venturi, A. Credi: Molecular Devices and Machines, Wiley-VCH, 2003.</w:t>
            </w:r>
          </w:p>
          <w:p w:rsidR="00AE3784" w:rsidRPr="00AE3784" w:rsidRDefault="00AE3784" w:rsidP="00AE3784">
            <w:pPr>
              <w:jc w:val="both"/>
              <w:rPr>
                <w:rFonts w:ascii="Arial Narrow" w:hAnsi="Arial Narrow"/>
                <w:sz w:val="18"/>
                <w:szCs w:val="18"/>
              </w:rPr>
            </w:pPr>
            <w:r w:rsidRPr="00AE3784">
              <w:rPr>
                <w:rFonts w:ascii="Arial Narrow" w:hAnsi="Arial Narrow"/>
                <w:sz w:val="18"/>
                <w:szCs w:val="18"/>
              </w:rPr>
              <w:t>10. J.W. Steed, J.L. Atwood: Supramolecular Chemistry, John Wiley &amp; Sons, 2013.</w:t>
            </w:r>
          </w:p>
        </w:tc>
      </w:tr>
      <w:tr w:rsidR="00AE3784" w:rsidRPr="00CE0E1C"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Other reference materials</w:t>
            </w:r>
          </w:p>
        </w:tc>
        <w:tc>
          <w:tcPr>
            <w:tcW w:w="7087" w:type="dxa"/>
          </w:tcPr>
          <w:p w:rsidR="00AE3784" w:rsidRPr="00AE3784" w:rsidRDefault="00AE3784" w:rsidP="00AE3784">
            <w:pPr>
              <w:jc w:val="both"/>
              <w:rPr>
                <w:rFonts w:ascii="Arial Narrow" w:hAnsi="Arial Narrow"/>
                <w:sz w:val="18"/>
                <w:szCs w:val="18"/>
                <w:lang w:val="en-US"/>
              </w:rPr>
            </w:pPr>
            <w:r w:rsidRPr="00AE3784">
              <w:rPr>
                <w:rFonts w:ascii="Arial Narrow" w:hAnsi="Arial Narrow"/>
                <w:sz w:val="18"/>
                <w:szCs w:val="18"/>
                <w:lang w:val="en"/>
              </w:rPr>
              <w:t>current scientific articles, given by the lecturer</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Average student workload outside classroom</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20 hrs</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Comments</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w:t>
            </w:r>
          </w:p>
        </w:tc>
      </w:tr>
      <w:tr w:rsidR="00AE3784" w:rsidRPr="00AE3784" w:rsidTr="00E7798D">
        <w:tc>
          <w:tcPr>
            <w:tcW w:w="2235" w:type="dxa"/>
            <w:shd w:val="clear" w:color="auto" w:fill="B2A1C7"/>
          </w:tcPr>
          <w:p w:rsidR="00AE3784" w:rsidRPr="00AE3784" w:rsidRDefault="00AE3784" w:rsidP="00AE3784">
            <w:pPr>
              <w:jc w:val="both"/>
              <w:rPr>
                <w:rFonts w:ascii="Arial Narrow" w:hAnsi="Arial Narrow"/>
                <w:b/>
                <w:sz w:val="18"/>
                <w:szCs w:val="18"/>
              </w:rPr>
            </w:pPr>
            <w:r w:rsidRPr="00AE3784">
              <w:rPr>
                <w:rFonts w:ascii="Arial Narrow" w:hAnsi="Arial Narrow"/>
                <w:b/>
                <w:sz w:val="18"/>
                <w:szCs w:val="18"/>
              </w:rPr>
              <w:t>Last update</w:t>
            </w:r>
          </w:p>
        </w:tc>
        <w:tc>
          <w:tcPr>
            <w:tcW w:w="7087" w:type="dxa"/>
          </w:tcPr>
          <w:p w:rsidR="00AE3784" w:rsidRPr="00AE3784" w:rsidRDefault="00AE3784" w:rsidP="00AE3784">
            <w:pPr>
              <w:jc w:val="both"/>
              <w:rPr>
                <w:rFonts w:ascii="Arial Narrow" w:hAnsi="Arial Narrow"/>
                <w:sz w:val="18"/>
                <w:szCs w:val="18"/>
              </w:rPr>
            </w:pPr>
            <w:r w:rsidRPr="00AE3784">
              <w:rPr>
                <w:rFonts w:ascii="Arial Narrow" w:hAnsi="Arial Narrow"/>
                <w:sz w:val="18"/>
                <w:szCs w:val="18"/>
              </w:rPr>
              <w:t>2019-04-12</w:t>
            </w:r>
          </w:p>
        </w:tc>
      </w:tr>
    </w:tbl>
    <w:p w:rsidR="002F08AD" w:rsidRDefault="002F08AD"/>
    <w:sectPr w:rsidR="002F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337CDCFA-48B3-4A95-AA38-7BCF7D216115}"/>
  </w:docVars>
  <w:rsids>
    <w:rsidRoot w:val="00AE3784"/>
    <w:rsid w:val="002F08AD"/>
    <w:rsid w:val="005D1B46"/>
    <w:rsid w:val="0096786F"/>
    <w:rsid w:val="00AE3784"/>
    <w:rsid w:val="00BB6F02"/>
    <w:rsid w:val="00CE0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AE378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AE378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37CDCFA-48B3-4A95-AA38-7BCF7D2161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Małgorzata Kupczyńska</cp:lastModifiedBy>
  <cp:revision>5</cp:revision>
  <dcterms:created xsi:type="dcterms:W3CDTF">2019-04-23T15:11:00Z</dcterms:created>
  <dcterms:modified xsi:type="dcterms:W3CDTF">2019-05-24T15:22:00Z</dcterms:modified>
</cp:coreProperties>
</file>