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1"/>
        <w:tblW w:w="9322" w:type="dxa"/>
        <w:tblLayout w:type="fixed"/>
        <w:tblLook w:val="04A0" w:firstRow="1" w:lastRow="0" w:firstColumn="1" w:lastColumn="0" w:noHBand="0" w:noVBand="1"/>
      </w:tblPr>
      <w:tblGrid>
        <w:gridCol w:w="2235"/>
        <w:gridCol w:w="7087"/>
      </w:tblGrid>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bookmarkStart w:id="0" w:name="_GoBack"/>
            <w:r w:rsidRPr="00B20BD8">
              <w:rPr>
                <w:rFonts w:ascii="Times New Roman" w:hAnsi="Times New Roman"/>
                <w:b/>
                <w:sz w:val="18"/>
                <w:szCs w:val="18"/>
              </w:rPr>
              <w:t>Course code</w:t>
            </w:r>
          </w:p>
        </w:tc>
        <w:tc>
          <w:tcPr>
            <w:tcW w:w="7087" w:type="dxa"/>
          </w:tcPr>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CC2</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Type and description</w:t>
            </w:r>
          </w:p>
        </w:tc>
        <w:tc>
          <w:tcPr>
            <w:tcW w:w="7087" w:type="dxa"/>
          </w:tcPr>
          <w:p w:rsidR="00E13BDF" w:rsidRPr="00B20BD8" w:rsidRDefault="00E13BDF" w:rsidP="00E13BDF">
            <w:pPr>
              <w:jc w:val="both"/>
              <w:rPr>
                <w:rFonts w:ascii="Times New Roman" w:hAnsi="Times New Roman"/>
                <w:sz w:val="18"/>
                <w:szCs w:val="18"/>
              </w:rPr>
            </w:pPr>
            <w:r w:rsidRPr="00B20BD8">
              <w:rPr>
                <w:rFonts w:ascii="Times New Roman" w:hAnsi="Times New Roman"/>
                <w:b/>
                <w:sz w:val="18"/>
                <w:szCs w:val="18"/>
              </w:rPr>
              <w:t>CC</w:t>
            </w:r>
            <w:r w:rsidRPr="00B20BD8">
              <w:rPr>
                <w:rFonts w:ascii="Times New Roman" w:hAnsi="Times New Roman"/>
                <w:sz w:val="18"/>
                <w:szCs w:val="18"/>
              </w:rPr>
              <w:t xml:space="preserve"> – Core Course</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ECTS credits</w:t>
            </w:r>
          </w:p>
        </w:tc>
        <w:tc>
          <w:tcPr>
            <w:tcW w:w="7087" w:type="dxa"/>
          </w:tcPr>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2</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Course name</w:t>
            </w:r>
          </w:p>
        </w:tc>
        <w:tc>
          <w:tcPr>
            <w:tcW w:w="7087" w:type="dxa"/>
          </w:tcPr>
          <w:p w:rsidR="00E13BDF" w:rsidRPr="00B20BD8" w:rsidRDefault="00E13BDF" w:rsidP="00E13BDF">
            <w:pPr>
              <w:jc w:val="both"/>
              <w:rPr>
                <w:rFonts w:ascii="Times New Roman" w:hAnsi="Times New Roman"/>
                <w:b/>
                <w:sz w:val="18"/>
                <w:szCs w:val="18"/>
                <w:lang w:val="en-US"/>
              </w:rPr>
            </w:pPr>
            <w:r w:rsidRPr="00B20BD8">
              <w:rPr>
                <w:rFonts w:ascii="Times New Roman" w:hAnsi="Times New Roman"/>
                <w:b/>
                <w:sz w:val="18"/>
                <w:szCs w:val="18"/>
                <w:lang w:val="en-US"/>
              </w:rPr>
              <w:t>Advanced Organic Chemistry</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Course name in Polish</w:t>
            </w:r>
          </w:p>
        </w:tc>
        <w:tc>
          <w:tcPr>
            <w:tcW w:w="7087" w:type="dxa"/>
          </w:tcPr>
          <w:p w:rsidR="00E13BDF" w:rsidRPr="00B20BD8" w:rsidRDefault="00E13BDF" w:rsidP="00E13BDF">
            <w:pPr>
              <w:jc w:val="both"/>
              <w:rPr>
                <w:rFonts w:ascii="Times New Roman" w:hAnsi="Times New Roman"/>
                <w:sz w:val="18"/>
                <w:szCs w:val="18"/>
              </w:rPr>
            </w:pPr>
            <w:proofErr w:type="spellStart"/>
            <w:r w:rsidRPr="00B20BD8">
              <w:rPr>
                <w:rFonts w:ascii="Times New Roman" w:hAnsi="Times New Roman"/>
                <w:sz w:val="18"/>
                <w:szCs w:val="18"/>
              </w:rPr>
              <w:t>Zaawansowana</w:t>
            </w:r>
            <w:proofErr w:type="spellEnd"/>
            <w:r w:rsidRPr="00B20BD8">
              <w:rPr>
                <w:rFonts w:ascii="Times New Roman" w:hAnsi="Times New Roman"/>
                <w:sz w:val="18"/>
                <w:szCs w:val="18"/>
              </w:rPr>
              <w:t xml:space="preserve"> </w:t>
            </w:r>
            <w:proofErr w:type="spellStart"/>
            <w:r w:rsidRPr="00B20BD8">
              <w:rPr>
                <w:rFonts w:ascii="Times New Roman" w:hAnsi="Times New Roman"/>
                <w:sz w:val="18"/>
                <w:szCs w:val="18"/>
              </w:rPr>
              <w:t>Chemia</w:t>
            </w:r>
            <w:proofErr w:type="spellEnd"/>
            <w:r w:rsidRPr="00B20BD8">
              <w:rPr>
                <w:rFonts w:ascii="Times New Roman" w:hAnsi="Times New Roman"/>
                <w:sz w:val="18"/>
                <w:szCs w:val="18"/>
              </w:rPr>
              <w:t xml:space="preserve"> </w:t>
            </w:r>
            <w:proofErr w:type="spellStart"/>
            <w:r w:rsidRPr="00B20BD8">
              <w:rPr>
                <w:rFonts w:ascii="Times New Roman" w:hAnsi="Times New Roman"/>
                <w:sz w:val="18"/>
                <w:szCs w:val="18"/>
              </w:rPr>
              <w:t>Organiczna</w:t>
            </w:r>
            <w:proofErr w:type="spellEnd"/>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Language of instruction</w:t>
            </w:r>
          </w:p>
        </w:tc>
        <w:tc>
          <w:tcPr>
            <w:tcW w:w="7087" w:type="dxa"/>
          </w:tcPr>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English</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Course level</w:t>
            </w:r>
          </w:p>
        </w:tc>
        <w:tc>
          <w:tcPr>
            <w:tcW w:w="7087" w:type="dxa"/>
          </w:tcPr>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8 PRK</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Course coordinator</w:t>
            </w:r>
          </w:p>
        </w:tc>
        <w:tc>
          <w:tcPr>
            <w:tcW w:w="7087" w:type="dxa"/>
          </w:tcPr>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 xml:space="preserve">prof. </w:t>
            </w:r>
            <w:proofErr w:type="spellStart"/>
            <w:r w:rsidRPr="00B20BD8">
              <w:rPr>
                <w:rFonts w:ascii="Times New Roman" w:hAnsi="Times New Roman"/>
                <w:sz w:val="18"/>
                <w:szCs w:val="18"/>
              </w:rPr>
              <w:t>dr</w:t>
            </w:r>
            <w:proofErr w:type="spellEnd"/>
            <w:r w:rsidRPr="00B20BD8">
              <w:rPr>
                <w:rFonts w:ascii="Times New Roman" w:hAnsi="Times New Roman"/>
                <w:sz w:val="18"/>
                <w:szCs w:val="18"/>
              </w:rPr>
              <w:t xml:space="preserve"> hab. </w:t>
            </w:r>
            <w:proofErr w:type="spellStart"/>
            <w:r w:rsidRPr="00B20BD8">
              <w:rPr>
                <w:rFonts w:ascii="Times New Roman" w:hAnsi="Times New Roman"/>
                <w:sz w:val="18"/>
                <w:szCs w:val="18"/>
              </w:rPr>
              <w:t>inż</w:t>
            </w:r>
            <w:proofErr w:type="spellEnd"/>
            <w:r w:rsidRPr="00B20BD8">
              <w:rPr>
                <w:rFonts w:ascii="Times New Roman" w:hAnsi="Times New Roman"/>
                <w:sz w:val="18"/>
                <w:szCs w:val="18"/>
              </w:rPr>
              <w:t xml:space="preserve">. </w:t>
            </w:r>
            <w:proofErr w:type="spellStart"/>
            <w:r w:rsidRPr="00B20BD8">
              <w:rPr>
                <w:rFonts w:ascii="Times New Roman" w:hAnsi="Times New Roman"/>
                <w:sz w:val="18"/>
                <w:szCs w:val="18"/>
              </w:rPr>
              <w:t>Łukasz</w:t>
            </w:r>
            <w:proofErr w:type="spellEnd"/>
            <w:r w:rsidRPr="00B20BD8">
              <w:rPr>
                <w:rFonts w:ascii="Times New Roman" w:hAnsi="Times New Roman"/>
                <w:sz w:val="18"/>
                <w:szCs w:val="18"/>
              </w:rPr>
              <w:t xml:space="preserve"> Albrecht</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Course instructors</w:t>
            </w:r>
          </w:p>
        </w:tc>
        <w:tc>
          <w:tcPr>
            <w:tcW w:w="7087" w:type="dxa"/>
          </w:tcPr>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 xml:space="preserve">prof. </w:t>
            </w:r>
            <w:proofErr w:type="spellStart"/>
            <w:r w:rsidRPr="00B20BD8">
              <w:rPr>
                <w:rFonts w:ascii="Times New Roman" w:hAnsi="Times New Roman"/>
                <w:sz w:val="18"/>
                <w:szCs w:val="18"/>
              </w:rPr>
              <w:t>dr</w:t>
            </w:r>
            <w:proofErr w:type="spellEnd"/>
            <w:r w:rsidRPr="00B20BD8">
              <w:rPr>
                <w:rFonts w:ascii="Times New Roman" w:hAnsi="Times New Roman"/>
                <w:sz w:val="18"/>
                <w:szCs w:val="18"/>
              </w:rPr>
              <w:t xml:space="preserve"> hab. </w:t>
            </w:r>
            <w:proofErr w:type="spellStart"/>
            <w:r w:rsidRPr="00B20BD8">
              <w:rPr>
                <w:rFonts w:ascii="Times New Roman" w:hAnsi="Times New Roman"/>
                <w:sz w:val="18"/>
                <w:szCs w:val="18"/>
              </w:rPr>
              <w:t>inż</w:t>
            </w:r>
            <w:proofErr w:type="spellEnd"/>
            <w:r w:rsidRPr="00B20BD8">
              <w:rPr>
                <w:rFonts w:ascii="Times New Roman" w:hAnsi="Times New Roman"/>
                <w:sz w:val="18"/>
                <w:szCs w:val="18"/>
              </w:rPr>
              <w:t xml:space="preserve">. </w:t>
            </w:r>
            <w:proofErr w:type="spellStart"/>
            <w:r w:rsidRPr="00B20BD8">
              <w:rPr>
                <w:rFonts w:ascii="Times New Roman" w:hAnsi="Times New Roman"/>
                <w:sz w:val="18"/>
                <w:szCs w:val="18"/>
              </w:rPr>
              <w:t>Łukasz</w:t>
            </w:r>
            <w:proofErr w:type="spellEnd"/>
            <w:r w:rsidRPr="00B20BD8">
              <w:rPr>
                <w:rFonts w:ascii="Times New Roman" w:hAnsi="Times New Roman"/>
                <w:sz w:val="18"/>
                <w:szCs w:val="18"/>
              </w:rPr>
              <w:t xml:space="preserve"> Albrecht</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Delivery methods and course duration</w:t>
            </w:r>
          </w:p>
        </w:tc>
        <w:tc>
          <w:tcPr>
            <w:tcW w:w="7087" w:type="dxa"/>
          </w:tcPr>
          <w:tbl>
            <w:tblPr>
              <w:tblW w:w="7054" w:type="dxa"/>
              <w:tblCellSpacing w:w="15" w:type="dxa"/>
              <w:tblBorders>
                <w:top w:val="single" w:sz="6" w:space="0" w:color="666666"/>
                <w:left w:val="single" w:sz="6" w:space="0" w:color="666666"/>
                <w:bottom w:val="single" w:sz="6" w:space="0" w:color="666666"/>
                <w:right w:val="single" w:sz="6" w:space="0" w:color="666666"/>
              </w:tblBorders>
              <w:tblLayout w:type="fixed"/>
              <w:tblCellMar>
                <w:left w:w="0" w:type="dxa"/>
                <w:right w:w="0" w:type="dxa"/>
              </w:tblCellMar>
              <w:tblLook w:val="04A0" w:firstRow="1" w:lastRow="0" w:firstColumn="1" w:lastColumn="0" w:noHBand="0" w:noVBand="1"/>
            </w:tblPr>
            <w:tblGrid>
              <w:gridCol w:w="1056"/>
              <w:gridCol w:w="635"/>
              <w:gridCol w:w="709"/>
              <w:gridCol w:w="851"/>
              <w:gridCol w:w="708"/>
              <w:gridCol w:w="709"/>
              <w:gridCol w:w="659"/>
              <w:gridCol w:w="1727"/>
            </w:tblGrid>
            <w:tr w:rsidR="00E13BDF" w:rsidRPr="00B20BD8" w:rsidTr="00E7798D">
              <w:trPr>
                <w:tblHeader/>
                <w:tblCellSpacing w:w="15" w:type="dxa"/>
              </w:trPr>
              <w:tc>
                <w:tcPr>
                  <w:tcW w:w="1011" w:type="dxa"/>
                  <w:shd w:val="clear" w:color="auto" w:fill="CCCCCC"/>
                  <w:tcMar>
                    <w:top w:w="30" w:type="dxa"/>
                    <w:left w:w="30" w:type="dxa"/>
                    <w:bottom w:w="30" w:type="dxa"/>
                    <w:right w:w="3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b/>
                      <w:bCs/>
                      <w:sz w:val="14"/>
                      <w:szCs w:val="14"/>
                      <w:lang w:val="en-GB" w:eastAsia="en-GB"/>
                    </w:rPr>
                  </w:pPr>
                </w:p>
              </w:tc>
              <w:tc>
                <w:tcPr>
                  <w:tcW w:w="605" w:type="dxa"/>
                  <w:shd w:val="clear" w:color="auto" w:fill="CCCCCC"/>
                  <w:tcMar>
                    <w:top w:w="30" w:type="dxa"/>
                    <w:left w:w="30" w:type="dxa"/>
                    <w:bottom w:w="30" w:type="dxa"/>
                    <w:right w:w="3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b/>
                      <w:bCs/>
                      <w:sz w:val="14"/>
                      <w:szCs w:val="14"/>
                      <w:lang w:val="en-GB" w:eastAsia="en-GB"/>
                    </w:rPr>
                  </w:pPr>
                  <w:r w:rsidRPr="00B20BD8">
                    <w:rPr>
                      <w:rFonts w:ascii="Times New Roman" w:eastAsia="Times New Roman" w:hAnsi="Times New Roman" w:cs="Times New Roman"/>
                      <w:b/>
                      <w:bCs/>
                      <w:sz w:val="14"/>
                      <w:szCs w:val="14"/>
                      <w:lang w:val="en-GB" w:eastAsia="en-GB"/>
                    </w:rPr>
                    <w:t>Lecture</w:t>
                  </w:r>
                </w:p>
              </w:tc>
              <w:tc>
                <w:tcPr>
                  <w:tcW w:w="679" w:type="dxa"/>
                  <w:shd w:val="clear" w:color="auto" w:fill="CCCCCC"/>
                  <w:tcMar>
                    <w:top w:w="30" w:type="dxa"/>
                    <w:left w:w="30" w:type="dxa"/>
                    <w:bottom w:w="30" w:type="dxa"/>
                    <w:right w:w="3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b/>
                      <w:bCs/>
                      <w:sz w:val="14"/>
                      <w:szCs w:val="14"/>
                      <w:lang w:val="en-GB" w:eastAsia="en-GB"/>
                    </w:rPr>
                  </w:pPr>
                  <w:r w:rsidRPr="00B20BD8">
                    <w:rPr>
                      <w:rFonts w:ascii="Times New Roman" w:eastAsia="Times New Roman" w:hAnsi="Times New Roman" w:cs="Times New Roman"/>
                      <w:b/>
                      <w:bCs/>
                      <w:sz w:val="14"/>
                      <w:szCs w:val="14"/>
                      <w:lang w:val="en-GB" w:eastAsia="en-GB"/>
                    </w:rPr>
                    <w:t>Tutorials</w:t>
                  </w:r>
                </w:p>
              </w:tc>
              <w:tc>
                <w:tcPr>
                  <w:tcW w:w="821" w:type="dxa"/>
                  <w:shd w:val="clear" w:color="auto" w:fill="CCCCCC"/>
                  <w:tcMar>
                    <w:top w:w="30" w:type="dxa"/>
                    <w:left w:w="30" w:type="dxa"/>
                    <w:bottom w:w="30" w:type="dxa"/>
                    <w:right w:w="3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b/>
                      <w:bCs/>
                      <w:sz w:val="14"/>
                      <w:szCs w:val="14"/>
                      <w:lang w:val="en-GB" w:eastAsia="en-GB"/>
                    </w:rPr>
                  </w:pPr>
                  <w:r w:rsidRPr="00B20BD8">
                    <w:rPr>
                      <w:rFonts w:ascii="Times New Roman" w:eastAsia="Times New Roman" w:hAnsi="Times New Roman" w:cs="Times New Roman"/>
                      <w:b/>
                      <w:bCs/>
                      <w:sz w:val="14"/>
                      <w:szCs w:val="14"/>
                      <w:lang w:val="en-GB" w:eastAsia="en-GB"/>
                    </w:rPr>
                    <w:t>Laboratory</w:t>
                  </w:r>
                </w:p>
              </w:tc>
              <w:tc>
                <w:tcPr>
                  <w:tcW w:w="678" w:type="dxa"/>
                  <w:shd w:val="clear" w:color="auto" w:fill="CCCCCC"/>
                  <w:tcMar>
                    <w:top w:w="30" w:type="dxa"/>
                    <w:left w:w="30" w:type="dxa"/>
                    <w:bottom w:w="30" w:type="dxa"/>
                    <w:right w:w="3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b/>
                      <w:bCs/>
                      <w:sz w:val="14"/>
                      <w:szCs w:val="14"/>
                      <w:lang w:val="en-GB" w:eastAsia="en-GB"/>
                    </w:rPr>
                  </w:pPr>
                  <w:r w:rsidRPr="00B20BD8">
                    <w:rPr>
                      <w:rFonts w:ascii="Times New Roman" w:eastAsia="Times New Roman" w:hAnsi="Times New Roman" w:cs="Times New Roman"/>
                      <w:b/>
                      <w:bCs/>
                      <w:sz w:val="14"/>
                      <w:szCs w:val="14"/>
                      <w:lang w:val="en-GB" w:eastAsia="en-GB"/>
                    </w:rPr>
                    <w:t>Project</w:t>
                  </w:r>
                </w:p>
              </w:tc>
              <w:tc>
                <w:tcPr>
                  <w:tcW w:w="679" w:type="dxa"/>
                  <w:shd w:val="clear" w:color="auto" w:fill="CCCCCC"/>
                  <w:tcMar>
                    <w:top w:w="30" w:type="dxa"/>
                    <w:left w:w="30" w:type="dxa"/>
                    <w:bottom w:w="30" w:type="dxa"/>
                    <w:right w:w="3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b/>
                      <w:bCs/>
                      <w:sz w:val="14"/>
                      <w:szCs w:val="14"/>
                      <w:lang w:val="en-GB" w:eastAsia="en-GB"/>
                    </w:rPr>
                  </w:pPr>
                  <w:r w:rsidRPr="00B20BD8">
                    <w:rPr>
                      <w:rFonts w:ascii="Times New Roman" w:eastAsia="Times New Roman" w:hAnsi="Times New Roman" w:cs="Times New Roman"/>
                      <w:b/>
                      <w:bCs/>
                      <w:sz w:val="14"/>
                      <w:szCs w:val="14"/>
                      <w:lang w:val="en-GB" w:eastAsia="en-GB"/>
                    </w:rPr>
                    <w:t>Seminar</w:t>
                  </w:r>
                </w:p>
              </w:tc>
              <w:tc>
                <w:tcPr>
                  <w:tcW w:w="629" w:type="dxa"/>
                  <w:shd w:val="clear" w:color="auto" w:fill="CCCCCC"/>
                  <w:tcMar>
                    <w:top w:w="30" w:type="dxa"/>
                    <w:left w:w="30" w:type="dxa"/>
                    <w:bottom w:w="30" w:type="dxa"/>
                    <w:right w:w="3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b/>
                      <w:bCs/>
                      <w:sz w:val="14"/>
                      <w:szCs w:val="14"/>
                      <w:lang w:val="en-GB" w:eastAsia="en-GB"/>
                    </w:rPr>
                  </w:pPr>
                  <w:r w:rsidRPr="00B20BD8">
                    <w:rPr>
                      <w:rFonts w:ascii="Times New Roman" w:eastAsia="Times New Roman" w:hAnsi="Times New Roman" w:cs="Times New Roman"/>
                      <w:b/>
                      <w:bCs/>
                      <w:sz w:val="14"/>
                      <w:szCs w:val="14"/>
                      <w:lang w:val="en-GB" w:eastAsia="en-GB"/>
                    </w:rPr>
                    <w:t>Other</w:t>
                  </w:r>
                </w:p>
              </w:tc>
              <w:tc>
                <w:tcPr>
                  <w:tcW w:w="1682" w:type="dxa"/>
                  <w:shd w:val="clear" w:color="auto" w:fill="CCCCCC"/>
                  <w:tcMar>
                    <w:top w:w="30" w:type="dxa"/>
                    <w:left w:w="30" w:type="dxa"/>
                    <w:bottom w:w="30" w:type="dxa"/>
                    <w:right w:w="3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b/>
                      <w:bCs/>
                      <w:sz w:val="14"/>
                      <w:szCs w:val="14"/>
                      <w:lang w:val="en-GB" w:eastAsia="en-GB"/>
                    </w:rPr>
                  </w:pPr>
                  <w:r w:rsidRPr="00B20BD8">
                    <w:rPr>
                      <w:rFonts w:ascii="Times New Roman" w:eastAsia="Times New Roman" w:hAnsi="Times New Roman" w:cs="Times New Roman"/>
                      <w:b/>
                      <w:bCs/>
                      <w:sz w:val="14"/>
                      <w:szCs w:val="14"/>
                      <w:lang w:val="en-GB" w:eastAsia="en-GB"/>
                    </w:rPr>
                    <w:t>Total of teaching hours during semester</w:t>
                  </w:r>
                </w:p>
              </w:tc>
            </w:tr>
            <w:tr w:rsidR="00E13BDF" w:rsidRPr="00B20BD8" w:rsidTr="00E7798D">
              <w:trPr>
                <w:tblCellSpacing w:w="15" w:type="dxa"/>
              </w:trPr>
              <w:tc>
                <w:tcPr>
                  <w:tcW w:w="1011"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rPr>
                      <w:rFonts w:ascii="Times New Roman" w:eastAsia="Calibri" w:hAnsi="Times New Roman" w:cs="Times New Roman"/>
                      <w:lang w:val="en-GB"/>
                    </w:rPr>
                  </w:pPr>
                  <w:r w:rsidRPr="00B20BD8">
                    <w:rPr>
                      <w:rFonts w:ascii="Times New Roman" w:eastAsia="Times New Roman" w:hAnsi="Times New Roman" w:cs="Times New Roman"/>
                      <w:sz w:val="14"/>
                      <w:szCs w:val="14"/>
                      <w:lang w:val="en-GB" w:eastAsia="en-GB"/>
                    </w:rPr>
                    <w:t>Contact</w:t>
                  </w:r>
                  <w:r w:rsidRPr="00B20BD8">
                    <w:rPr>
                      <w:rFonts w:ascii="Times New Roman" w:eastAsia="Calibri" w:hAnsi="Times New Roman" w:cs="Times New Roman"/>
                      <w:lang w:val="en-GB"/>
                    </w:rPr>
                    <w:t xml:space="preserve"> </w:t>
                  </w:r>
                  <w:r w:rsidRPr="00B20BD8">
                    <w:rPr>
                      <w:rFonts w:ascii="Times New Roman" w:eastAsia="Calibri" w:hAnsi="Times New Roman" w:cs="Times New Roman"/>
                      <w:sz w:val="14"/>
                      <w:szCs w:val="14"/>
                      <w:lang w:val="en-GB"/>
                    </w:rPr>
                    <w:t>hours</w:t>
                  </w:r>
                </w:p>
              </w:tc>
              <w:tc>
                <w:tcPr>
                  <w:tcW w:w="605"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25</w:t>
                  </w:r>
                </w:p>
              </w:tc>
              <w:tc>
                <w:tcPr>
                  <w:tcW w:w="679"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0</w:t>
                  </w:r>
                </w:p>
              </w:tc>
              <w:tc>
                <w:tcPr>
                  <w:tcW w:w="821"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0</w:t>
                  </w:r>
                </w:p>
              </w:tc>
              <w:tc>
                <w:tcPr>
                  <w:tcW w:w="678"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0</w:t>
                  </w:r>
                </w:p>
              </w:tc>
              <w:tc>
                <w:tcPr>
                  <w:tcW w:w="679"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0</w:t>
                  </w:r>
                </w:p>
              </w:tc>
              <w:tc>
                <w:tcPr>
                  <w:tcW w:w="629"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0</w:t>
                  </w:r>
                </w:p>
              </w:tc>
              <w:tc>
                <w:tcPr>
                  <w:tcW w:w="1682"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25</w:t>
                  </w:r>
                </w:p>
              </w:tc>
            </w:tr>
            <w:tr w:rsidR="00E13BDF" w:rsidRPr="00B20BD8" w:rsidTr="00E7798D">
              <w:trPr>
                <w:tblCellSpacing w:w="15" w:type="dxa"/>
              </w:trPr>
              <w:tc>
                <w:tcPr>
                  <w:tcW w:w="1011" w:type="dxa"/>
                  <w:tcMar>
                    <w:top w:w="60" w:type="dxa"/>
                    <w:left w:w="60" w:type="dxa"/>
                    <w:bottom w:w="60" w:type="dxa"/>
                    <w:right w:w="60" w:type="dxa"/>
                  </w:tcMar>
                  <w:vAlign w:val="center"/>
                  <w:hideMark/>
                </w:tcPr>
                <w:p w:rsidR="00E13BDF" w:rsidRPr="00B20BD8" w:rsidRDefault="00E13BDF" w:rsidP="00E13BDF">
                  <w:pPr>
                    <w:spacing w:after="0" w:line="240" w:lineRule="auto"/>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E-learning</w:t>
                  </w:r>
                </w:p>
              </w:tc>
              <w:tc>
                <w:tcPr>
                  <w:tcW w:w="605" w:type="dxa"/>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No</w:t>
                  </w:r>
                </w:p>
              </w:tc>
              <w:tc>
                <w:tcPr>
                  <w:tcW w:w="679" w:type="dxa"/>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No</w:t>
                  </w:r>
                </w:p>
              </w:tc>
              <w:tc>
                <w:tcPr>
                  <w:tcW w:w="821" w:type="dxa"/>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No</w:t>
                  </w:r>
                </w:p>
              </w:tc>
              <w:tc>
                <w:tcPr>
                  <w:tcW w:w="678" w:type="dxa"/>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No</w:t>
                  </w:r>
                </w:p>
              </w:tc>
              <w:tc>
                <w:tcPr>
                  <w:tcW w:w="679" w:type="dxa"/>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No</w:t>
                  </w:r>
                </w:p>
              </w:tc>
              <w:tc>
                <w:tcPr>
                  <w:tcW w:w="629" w:type="dxa"/>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No</w:t>
                  </w:r>
                </w:p>
              </w:tc>
              <w:tc>
                <w:tcPr>
                  <w:tcW w:w="1682" w:type="dxa"/>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p>
              </w:tc>
            </w:tr>
            <w:tr w:rsidR="00E13BDF" w:rsidRPr="00B20BD8" w:rsidTr="00E7798D">
              <w:trPr>
                <w:tblCellSpacing w:w="15" w:type="dxa"/>
              </w:trPr>
              <w:tc>
                <w:tcPr>
                  <w:tcW w:w="1011"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Assessment criteria (weightage)</w:t>
                  </w:r>
                </w:p>
              </w:tc>
              <w:tc>
                <w:tcPr>
                  <w:tcW w:w="605"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1.00</w:t>
                  </w:r>
                </w:p>
              </w:tc>
              <w:tc>
                <w:tcPr>
                  <w:tcW w:w="679"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0.00</w:t>
                  </w:r>
                </w:p>
              </w:tc>
              <w:tc>
                <w:tcPr>
                  <w:tcW w:w="821"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0.00</w:t>
                  </w:r>
                </w:p>
              </w:tc>
              <w:tc>
                <w:tcPr>
                  <w:tcW w:w="678"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0.00</w:t>
                  </w:r>
                </w:p>
              </w:tc>
              <w:tc>
                <w:tcPr>
                  <w:tcW w:w="679"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0.00</w:t>
                  </w:r>
                </w:p>
              </w:tc>
              <w:tc>
                <w:tcPr>
                  <w:tcW w:w="629"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r w:rsidRPr="00B20BD8">
                    <w:rPr>
                      <w:rFonts w:ascii="Times New Roman" w:eastAsia="Times New Roman" w:hAnsi="Times New Roman" w:cs="Times New Roman"/>
                      <w:sz w:val="14"/>
                      <w:szCs w:val="14"/>
                      <w:lang w:val="en-GB" w:eastAsia="en-GB"/>
                    </w:rPr>
                    <w:t>0.00</w:t>
                  </w:r>
                </w:p>
              </w:tc>
              <w:tc>
                <w:tcPr>
                  <w:tcW w:w="1682" w:type="dxa"/>
                  <w:shd w:val="clear" w:color="auto" w:fill="EEEEEE"/>
                  <w:tcMar>
                    <w:top w:w="60" w:type="dxa"/>
                    <w:left w:w="60" w:type="dxa"/>
                    <w:bottom w:w="60" w:type="dxa"/>
                    <w:right w:w="60" w:type="dxa"/>
                  </w:tcMar>
                  <w:vAlign w:val="center"/>
                  <w:hideMark/>
                </w:tcPr>
                <w:p w:rsidR="00E13BDF" w:rsidRPr="00B20BD8" w:rsidRDefault="00E13BDF" w:rsidP="00E13BDF">
                  <w:pPr>
                    <w:spacing w:after="0" w:line="240" w:lineRule="auto"/>
                    <w:jc w:val="center"/>
                    <w:rPr>
                      <w:rFonts w:ascii="Times New Roman" w:eastAsia="Times New Roman" w:hAnsi="Times New Roman" w:cs="Times New Roman"/>
                      <w:sz w:val="14"/>
                      <w:szCs w:val="14"/>
                      <w:lang w:val="en-GB" w:eastAsia="en-GB"/>
                    </w:rPr>
                  </w:pPr>
                </w:p>
              </w:tc>
            </w:tr>
          </w:tbl>
          <w:p w:rsidR="00E13BDF" w:rsidRPr="00B20BD8" w:rsidRDefault="00E13BDF" w:rsidP="00E13BDF">
            <w:pPr>
              <w:jc w:val="both"/>
              <w:rPr>
                <w:rFonts w:ascii="Times New Roman" w:hAnsi="Times New Roman"/>
                <w:sz w:val="18"/>
                <w:szCs w:val="18"/>
              </w:rPr>
            </w:pP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Course objective</w:t>
            </w:r>
          </w:p>
        </w:tc>
        <w:tc>
          <w:tcPr>
            <w:tcW w:w="7087" w:type="dxa"/>
          </w:tcPr>
          <w:p w:rsidR="00E13BDF" w:rsidRPr="00B20BD8" w:rsidRDefault="00E13BDF" w:rsidP="00E13BDF">
            <w:pPr>
              <w:jc w:val="both"/>
              <w:rPr>
                <w:rFonts w:ascii="Times New Roman" w:hAnsi="Times New Roman"/>
                <w:sz w:val="18"/>
                <w:szCs w:val="18"/>
                <w:lang w:val="en-US"/>
              </w:rPr>
            </w:pPr>
            <w:r w:rsidRPr="00B20BD8">
              <w:rPr>
                <w:rFonts w:ascii="Times New Roman" w:hAnsi="Times New Roman"/>
                <w:sz w:val="18"/>
                <w:szCs w:val="18"/>
                <w:lang w:val="en-US"/>
              </w:rPr>
              <w:t xml:space="preserve">The goal of the course is to familiarize students with the basic knowledge and concepts of advanced organic chemistry related to reactive intermediates (such as </w:t>
            </w:r>
            <w:proofErr w:type="spellStart"/>
            <w:r w:rsidRPr="00B20BD8">
              <w:rPr>
                <w:rFonts w:ascii="Times New Roman" w:hAnsi="Times New Roman"/>
                <w:sz w:val="18"/>
                <w:szCs w:val="18"/>
                <w:lang w:val="en-US"/>
              </w:rPr>
              <w:t>carbocations</w:t>
            </w:r>
            <w:proofErr w:type="spellEnd"/>
            <w:r w:rsidRPr="00B20BD8">
              <w:rPr>
                <w:rFonts w:ascii="Times New Roman" w:hAnsi="Times New Roman"/>
                <w:sz w:val="18"/>
                <w:szCs w:val="18"/>
                <w:lang w:val="en-US"/>
              </w:rPr>
              <w:t xml:space="preserve">, </w:t>
            </w:r>
            <w:proofErr w:type="spellStart"/>
            <w:r w:rsidRPr="00B20BD8">
              <w:rPr>
                <w:rFonts w:ascii="Times New Roman" w:hAnsi="Times New Roman"/>
                <w:sz w:val="18"/>
                <w:szCs w:val="18"/>
                <w:lang w:val="en-US"/>
              </w:rPr>
              <w:t>carbanions</w:t>
            </w:r>
            <w:proofErr w:type="spellEnd"/>
            <w:r w:rsidRPr="00B20BD8">
              <w:rPr>
                <w:rFonts w:ascii="Times New Roman" w:hAnsi="Times New Roman"/>
                <w:sz w:val="18"/>
                <w:szCs w:val="18"/>
                <w:lang w:val="en-US"/>
              </w:rPr>
              <w:t xml:space="preserve">, radicals or </w:t>
            </w:r>
            <w:proofErr w:type="spellStart"/>
            <w:r w:rsidRPr="00B20BD8">
              <w:rPr>
                <w:rFonts w:ascii="Times New Roman" w:hAnsi="Times New Roman"/>
                <w:sz w:val="18"/>
                <w:szCs w:val="18"/>
                <w:lang w:val="en-US"/>
              </w:rPr>
              <w:t>carbenes</w:t>
            </w:r>
            <w:proofErr w:type="spellEnd"/>
            <w:r w:rsidRPr="00B20BD8">
              <w:rPr>
                <w:rFonts w:ascii="Times New Roman" w:hAnsi="Times New Roman"/>
                <w:sz w:val="18"/>
                <w:szCs w:val="18"/>
                <w:lang w:val="en-US"/>
              </w:rPr>
              <w:t>) and typical organic reaction mechanisms. During the lecture methods to predict the reactivity of organic compounds based on their structure and reaction conditions will be discussed. Furthermore, the ability to predict feasible reaction mechanism using curved-arrow notation will be acquired.</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Learning outcomes</w:t>
            </w:r>
          </w:p>
        </w:tc>
        <w:tc>
          <w:tcPr>
            <w:tcW w:w="7087" w:type="dxa"/>
          </w:tcPr>
          <w:p w:rsidR="00E13BDF" w:rsidRPr="00B20BD8" w:rsidRDefault="00E13BDF" w:rsidP="00E13BDF">
            <w:pPr>
              <w:jc w:val="both"/>
              <w:rPr>
                <w:rFonts w:ascii="Times New Roman" w:eastAsia="Times New Roman" w:hAnsi="Times New Roman"/>
                <w:sz w:val="18"/>
                <w:szCs w:val="18"/>
                <w:lang w:val="en" w:eastAsia="pl-PL"/>
              </w:rPr>
            </w:pPr>
            <w:r w:rsidRPr="00B20BD8">
              <w:rPr>
                <w:rFonts w:ascii="Times New Roman" w:eastAsia="Times New Roman" w:hAnsi="Times New Roman"/>
                <w:sz w:val="18"/>
                <w:szCs w:val="18"/>
                <w:lang w:val="en" w:eastAsia="pl-PL"/>
              </w:rPr>
              <w:t>A PhD student after completing the course (</w:t>
            </w:r>
            <w:r w:rsidRPr="00B20BD8">
              <w:rPr>
                <w:rFonts w:ascii="Times New Roman" w:eastAsia="Times New Roman" w:hAnsi="Times New Roman"/>
                <w:b/>
                <w:i/>
                <w:sz w:val="18"/>
                <w:szCs w:val="18"/>
                <w:lang w:val="en-US" w:eastAsia="pl-PL"/>
              </w:rPr>
              <w:t>W1 P8S_EG, U1 P8S_UW, K1 P8S_KK</w:t>
            </w:r>
            <w:r w:rsidRPr="00B20BD8">
              <w:rPr>
                <w:rFonts w:ascii="Times New Roman" w:eastAsia="Times New Roman" w:hAnsi="Times New Roman"/>
                <w:sz w:val="18"/>
                <w:szCs w:val="18"/>
                <w:lang w:val="en" w:eastAsia="pl-PL"/>
              </w:rPr>
              <w:t>):</w:t>
            </w:r>
          </w:p>
          <w:p w:rsidR="00E13BDF" w:rsidRPr="00B20BD8" w:rsidRDefault="00E13BDF" w:rsidP="00E13BDF">
            <w:pPr>
              <w:jc w:val="both"/>
              <w:rPr>
                <w:rFonts w:ascii="Times New Roman" w:eastAsia="Times New Roman" w:hAnsi="Times New Roman"/>
                <w:sz w:val="18"/>
                <w:szCs w:val="18"/>
                <w:lang w:val="en-US" w:eastAsia="pl-PL"/>
              </w:rPr>
            </w:pPr>
            <w:r w:rsidRPr="00B20BD8">
              <w:rPr>
                <w:rFonts w:ascii="Times New Roman" w:eastAsia="Times New Roman" w:hAnsi="Times New Roman"/>
                <w:sz w:val="18"/>
                <w:szCs w:val="18"/>
                <w:lang w:val="en" w:eastAsia="pl-PL"/>
              </w:rPr>
              <w:t>1. can recognize and knows selected examples and can write using curved-arrows notation, various types of organic reaction mechanisms;</w:t>
            </w:r>
          </w:p>
          <w:p w:rsidR="00E13BDF" w:rsidRPr="00B20BD8" w:rsidRDefault="00E13BDF" w:rsidP="00E13BDF">
            <w:pPr>
              <w:jc w:val="both"/>
              <w:rPr>
                <w:rFonts w:ascii="Times New Roman" w:eastAsia="Times New Roman" w:hAnsi="Times New Roman"/>
                <w:sz w:val="18"/>
                <w:szCs w:val="18"/>
                <w:lang w:val="en" w:eastAsia="pl-PL"/>
              </w:rPr>
            </w:pPr>
            <w:r w:rsidRPr="00B20BD8">
              <w:rPr>
                <w:rFonts w:ascii="Times New Roman" w:eastAsia="Times New Roman" w:hAnsi="Times New Roman"/>
                <w:sz w:val="18"/>
                <w:szCs w:val="18"/>
                <w:lang w:val="en" w:eastAsia="pl-PL"/>
              </w:rPr>
              <w:t>2. has the ability to apply the knowledge of previously encountered reaction mechanisms and reaction conditions to write feasible reaction mechanism for new reactions;</w:t>
            </w:r>
          </w:p>
          <w:p w:rsidR="00E13BDF" w:rsidRPr="00B20BD8" w:rsidRDefault="00E13BDF" w:rsidP="00E13BDF">
            <w:pPr>
              <w:jc w:val="both"/>
              <w:rPr>
                <w:rFonts w:ascii="Times New Roman" w:eastAsia="Times New Roman" w:hAnsi="Times New Roman"/>
                <w:sz w:val="18"/>
                <w:szCs w:val="18"/>
                <w:lang w:eastAsia="pl-PL"/>
              </w:rPr>
            </w:pPr>
            <w:r w:rsidRPr="00B20BD8">
              <w:rPr>
                <w:rFonts w:ascii="Times New Roman" w:eastAsia="Times New Roman" w:hAnsi="Times New Roman"/>
                <w:sz w:val="18"/>
                <w:szCs w:val="18"/>
                <w:lang w:val="en" w:eastAsia="pl-PL"/>
              </w:rPr>
              <w:t>3. has extended knowledge on the structure, properties and rearrangements of reactive intermediates;</w:t>
            </w:r>
          </w:p>
          <w:p w:rsidR="00E13BDF" w:rsidRPr="00B20BD8" w:rsidRDefault="00E13BDF" w:rsidP="00E13BDF">
            <w:pPr>
              <w:jc w:val="both"/>
              <w:rPr>
                <w:rFonts w:ascii="Times New Roman" w:eastAsia="Times New Roman" w:hAnsi="Times New Roman"/>
                <w:sz w:val="18"/>
                <w:szCs w:val="18"/>
                <w:lang w:val="en" w:eastAsia="pl-PL"/>
              </w:rPr>
            </w:pPr>
            <w:r w:rsidRPr="00B20BD8">
              <w:rPr>
                <w:rFonts w:ascii="Times New Roman" w:eastAsia="Times New Roman" w:hAnsi="Times New Roman"/>
                <w:sz w:val="18"/>
                <w:szCs w:val="18"/>
                <w:lang w:val="en" w:eastAsia="pl-PL"/>
              </w:rPr>
              <w:t>4. can propose a reasonable mechanistic pathway for a given type of reaction involving reactive intermediate.</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Assessment methods</w:t>
            </w:r>
          </w:p>
        </w:tc>
        <w:tc>
          <w:tcPr>
            <w:tcW w:w="7087" w:type="dxa"/>
          </w:tcPr>
          <w:p w:rsidR="00E13BDF" w:rsidRPr="00B20BD8" w:rsidRDefault="00E13BDF" w:rsidP="00E13BDF">
            <w:pPr>
              <w:jc w:val="both"/>
              <w:rPr>
                <w:rFonts w:ascii="Times New Roman" w:hAnsi="Times New Roman"/>
                <w:sz w:val="18"/>
                <w:szCs w:val="18"/>
                <w:lang w:val="en"/>
              </w:rPr>
            </w:pPr>
            <w:r w:rsidRPr="00B20BD8">
              <w:rPr>
                <w:rFonts w:ascii="Times New Roman" w:hAnsi="Times New Roman"/>
                <w:sz w:val="18"/>
                <w:szCs w:val="18"/>
                <w:lang w:val="en"/>
              </w:rPr>
              <w:t>Verification methods of learning outcomes</w:t>
            </w:r>
          </w:p>
          <w:p w:rsidR="00E13BDF" w:rsidRPr="00B20BD8" w:rsidRDefault="00E13BDF" w:rsidP="00E13BDF">
            <w:pPr>
              <w:jc w:val="both"/>
              <w:rPr>
                <w:rFonts w:ascii="Times New Roman" w:hAnsi="Times New Roman"/>
                <w:sz w:val="18"/>
                <w:szCs w:val="18"/>
                <w:lang w:val="en"/>
              </w:rPr>
            </w:pPr>
            <w:r w:rsidRPr="00B20BD8">
              <w:rPr>
                <w:rFonts w:ascii="Times New Roman" w:hAnsi="Times New Roman"/>
                <w:sz w:val="18"/>
                <w:szCs w:val="18"/>
                <w:lang w:val="en"/>
              </w:rPr>
              <w:t xml:space="preserve">effects </w:t>
            </w:r>
            <w:r w:rsidRPr="00B20BD8">
              <w:rPr>
                <w:rFonts w:ascii="Times New Roman" w:hAnsi="Times New Roman"/>
                <w:b/>
                <w:i/>
                <w:sz w:val="18"/>
                <w:szCs w:val="18"/>
                <w:lang w:val="en-US"/>
              </w:rPr>
              <w:t>W1 P8S_EG, U1 P8S_UW, K1 P8S_KK</w:t>
            </w:r>
            <w:r w:rsidRPr="00B20BD8">
              <w:rPr>
                <w:rFonts w:ascii="Times New Roman" w:hAnsi="Times New Roman"/>
                <w:sz w:val="18"/>
                <w:szCs w:val="18"/>
                <w:lang w:val="en"/>
              </w:rPr>
              <w:t xml:space="preserve"> - written exam</w:t>
            </w:r>
          </w:p>
          <w:p w:rsidR="00E13BDF" w:rsidRPr="00B20BD8" w:rsidRDefault="00E13BDF" w:rsidP="00E13BDF">
            <w:pPr>
              <w:jc w:val="both"/>
              <w:rPr>
                <w:rFonts w:ascii="Times New Roman" w:hAnsi="Times New Roman"/>
                <w:sz w:val="18"/>
                <w:szCs w:val="18"/>
                <w:lang w:val="en"/>
              </w:rPr>
            </w:pPr>
            <w:r w:rsidRPr="00B20BD8">
              <w:rPr>
                <w:rFonts w:ascii="Times New Roman" w:hAnsi="Times New Roman"/>
                <w:sz w:val="18"/>
                <w:szCs w:val="18"/>
                <w:lang w:val="en"/>
              </w:rPr>
              <w:t>The final grade consists of:</w:t>
            </w:r>
          </w:p>
          <w:p w:rsidR="00E13BDF" w:rsidRPr="00B20BD8" w:rsidRDefault="00E13BDF" w:rsidP="00E13BDF">
            <w:pPr>
              <w:jc w:val="both"/>
              <w:rPr>
                <w:rFonts w:ascii="Times New Roman" w:hAnsi="Times New Roman"/>
                <w:sz w:val="18"/>
                <w:szCs w:val="18"/>
                <w:lang w:val="en"/>
              </w:rPr>
            </w:pPr>
            <w:r w:rsidRPr="00B20BD8">
              <w:rPr>
                <w:rFonts w:ascii="Times New Roman" w:hAnsi="Times New Roman"/>
                <w:sz w:val="18"/>
                <w:szCs w:val="18"/>
                <w:lang w:val="en"/>
              </w:rPr>
              <w:t>The result of the written test - 100%</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Prerequisites</w:t>
            </w:r>
          </w:p>
        </w:tc>
        <w:tc>
          <w:tcPr>
            <w:tcW w:w="7087" w:type="dxa"/>
          </w:tcPr>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none</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Course content with delivery methods</w:t>
            </w:r>
          </w:p>
        </w:tc>
        <w:tc>
          <w:tcPr>
            <w:tcW w:w="7087" w:type="dxa"/>
          </w:tcPr>
          <w:p w:rsidR="00E13BDF" w:rsidRPr="00B20BD8" w:rsidRDefault="00E13BDF" w:rsidP="00E13BDF">
            <w:pPr>
              <w:jc w:val="both"/>
              <w:rPr>
                <w:rFonts w:ascii="Times New Roman" w:hAnsi="Times New Roman"/>
                <w:sz w:val="18"/>
                <w:szCs w:val="18"/>
                <w:lang w:val="en"/>
              </w:rPr>
            </w:pPr>
            <w:r w:rsidRPr="00B20BD8">
              <w:rPr>
                <w:rFonts w:ascii="Times New Roman" w:hAnsi="Times New Roman"/>
                <w:sz w:val="18"/>
                <w:szCs w:val="18"/>
                <w:lang w:val="en"/>
              </w:rPr>
              <w:t xml:space="preserve">LECTURE </w:t>
            </w:r>
          </w:p>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 xml:space="preserve">Review of organic reaction mechanisms: a) polar reactions under acidic or basic conditions; b) free radical reactions; c) </w:t>
            </w:r>
            <w:proofErr w:type="spellStart"/>
            <w:r w:rsidRPr="00B20BD8">
              <w:rPr>
                <w:rFonts w:ascii="Times New Roman" w:hAnsi="Times New Roman"/>
                <w:sz w:val="18"/>
                <w:szCs w:val="18"/>
              </w:rPr>
              <w:t>pericyclic</w:t>
            </w:r>
            <w:proofErr w:type="spellEnd"/>
            <w:r w:rsidRPr="00B20BD8">
              <w:rPr>
                <w:rFonts w:ascii="Times New Roman" w:hAnsi="Times New Roman"/>
                <w:sz w:val="18"/>
                <w:szCs w:val="18"/>
              </w:rPr>
              <w:t xml:space="preserve"> reactions (</w:t>
            </w:r>
            <w:proofErr w:type="spellStart"/>
            <w:r w:rsidRPr="00B20BD8">
              <w:rPr>
                <w:rFonts w:ascii="Times New Roman" w:hAnsi="Times New Roman"/>
                <w:sz w:val="18"/>
                <w:szCs w:val="18"/>
              </w:rPr>
              <w:t>electrocyclic</w:t>
            </w:r>
            <w:proofErr w:type="spellEnd"/>
            <w:r w:rsidRPr="00B20BD8">
              <w:rPr>
                <w:rFonts w:ascii="Times New Roman" w:hAnsi="Times New Roman"/>
                <w:sz w:val="18"/>
                <w:szCs w:val="18"/>
              </w:rPr>
              <w:t xml:space="preserve"> reactions, </w:t>
            </w:r>
            <w:proofErr w:type="spellStart"/>
            <w:r w:rsidRPr="00B20BD8">
              <w:rPr>
                <w:rFonts w:ascii="Times New Roman" w:hAnsi="Times New Roman"/>
                <w:sz w:val="18"/>
                <w:szCs w:val="18"/>
              </w:rPr>
              <w:t>cycloadditions</w:t>
            </w:r>
            <w:proofErr w:type="spellEnd"/>
            <w:r w:rsidRPr="00B20BD8">
              <w:rPr>
                <w:rFonts w:ascii="Times New Roman" w:hAnsi="Times New Roman"/>
                <w:sz w:val="18"/>
                <w:szCs w:val="18"/>
              </w:rPr>
              <w:t xml:space="preserve">, </w:t>
            </w:r>
            <w:proofErr w:type="spellStart"/>
            <w:r w:rsidRPr="00B20BD8">
              <w:rPr>
                <w:rFonts w:ascii="Times New Roman" w:hAnsi="Times New Roman"/>
                <w:sz w:val="18"/>
                <w:szCs w:val="18"/>
              </w:rPr>
              <w:t>sigmatropic</w:t>
            </w:r>
            <w:proofErr w:type="spellEnd"/>
            <w:r w:rsidRPr="00B20BD8">
              <w:rPr>
                <w:rFonts w:ascii="Times New Roman" w:hAnsi="Times New Roman"/>
                <w:sz w:val="18"/>
                <w:szCs w:val="18"/>
              </w:rPr>
              <w:t xml:space="preserve"> rearrangements); d) transition metal-mediated and –</w:t>
            </w:r>
            <w:proofErr w:type="spellStart"/>
            <w:r w:rsidRPr="00B20BD8">
              <w:rPr>
                <w:rFonts w:ascii="Times New Roman" w:hAnsi="Times New Roman"/>
                <w:sz w:val="18"/>
                <w:szCs w:val="18"/>
              </w:rPr>
              <w:t>catalyzed</w:t>
            </w:r>
            <w:proofErr w:type="spellEnd"/>
            <w:r w:rsidRPr="00B20BD8">
              <w:rPr>
                <w:rFonts w:ascii="Times New Roman" w:hAnsi="Times New Roman"/>
                <w:sz w:val="18"/>
                <w:szCs w:val="18"/>
              </w:rPr>
              <w:t xml:space="preserve"> reactions.</w:t>
            </w:r>
          </w:p>
          <w:p w:rsidR="00E13BDF" w:rsidRPr="00B20BD8" w:rsidRDefault="00E13BDF" w:rsidP="00E13BDF">
            <w:pPr>
              <w:jc w:val="both"/>
              <w:rPr>
                <w:rFonts w:ascii="Times New Roman" w:hAnsi="Times New Roman"/>
                <w:sz w:val="18"/>
                <w:szCs w:val="18"/>
              </w:rPr>
            </w:pPr>
            <w:proofErr w:type="spellStart"/>
            <w:r w:rsidRPr="00B20BD8">
              <w:rPr>
                <w:rFonts w:ascii="Times New Roman" w:hAnsi="Times New Roman"/>
                <w:sz w:val="18"/>
                <w:szCs w:val="18"/>
              </w:rPr>
              <w:t>Carbocations</w:t>
            </w:r>
            <w:proofErr w:type="spellEnd"/>
            <w:r w:rsidRPr="00B20BD8">
              <w:rPr>
                <w:rFonts w:ascii="Times New Roman" w:hAnsi="Times New Roman"/>
                <w:sz w:val="18"/>
                <w:szCs w:val="18"/>
              </w:rPr>
              <w:t xml:space="preserve">: structure, reactivity and stability of </w:t>
            </w:r>
            <w:proofErr w:type="spellStart"/>
            <w:r w:rsidRPr="00B20BD8">
              <w:rPr>
                <w:rFonts w:ascii="Times New Roman" w:hAnsi="Times New Roman"/>
                <w:sz w:val="18"/>
                <w:szCs w:val="18"/>
              </w:rPr>
              <w:t>carbocations</w:t>
            </w:r>
            <w:proofErr w:type="spellEnd"/>
            <w:r w:rsidRPr="00B20BD8">
              <w:rPr>
                <w:rFonts w:ascii="Times New Roman" w:hAnsi="Times New Roman"/>
                <w:sz w:val="18"/>
                <w:szCs w:val="18"/>
              </w:rPr>
              <w:t xml:space="preserve">. Direct observation of </w:t>
            </w:r>
            <w:proofErr w:type="spellStart"/>
            <w:r w:rsidRPr="00B20BD8">
              <w:rPr>
                <w:rFonts w:ascii="Times New Roman" w:hAnsi="Times New Roman"/>
                <w:sz w:val="18"/>
                <w:szCs w:val="18"/>
              </w:rPr>
              <w:t>carbocations</w:t>
            </w:r>
            <w:proofErr w:type="spellEnd"/>
            <w:r w:rsidRPr="00B20BD8">
              <w:rPr>
                <w:rFonts w:ascii="Times New Roman" w:hAnsi="Times New Roman"/>
                <w:sz w:val="18"/>
                <w:szCs w:val="18"/>
              </w:rPr>
              <w:t xml:space="preserve"> – </w:t>
            </w:r>
            <w:proofErr w:type="spellStart"/>
            <w:r w:rsidRPr="00B20BD8">
              <w:rPr>
                <w:rFonts w:ascii="Times New Roman" w:hAnsi="Times New Roman"/>
                <w:sz w:val="18"/>
                <w:szCs w:val="18"/>
              </w:rPr>
              <w:t>superacids</w:t>
            </w:r>
            <w:proofErr w:type="spellEnd"/>
            <w:r w:rsidRPr="00B20BD8">
              <w:rPr>
                <w:rFonts w:ascii="Times New Roman" w:hAnsi="Times New Roman"/>
                <w:sz w:val="18"/>
                <w:szCs w:val="18"/>
              </w:rPr>
              <w:t xml:space="preserve">. Generation of </w:t>
            </w:r>
            <w:proofErr w:type="spellStart"/>
            <w:r w:rsidRPr="00B20BD8">
              <w:rPr>
                <w:rFonts w:ascii="Times New Roman" w:hAnsi="Times New Roman"/>
                <w:sz w:val="18"/>
                <w:szCs w:val="18"/>
              </w:rPr>
              <w:t>carbocations</w:t>
            </w:r>
            <w:proofErr w:type="spellEnd"/>
            <w:r w:rsidRPr="00B20BD8">
              <w:rPr>
                <w:rFonts w:ascii="Times New Roman" w:hAnsi="Times New Roman"/>
                <w:sz w:val="18"/>
                <w:szCs w:val="18"/>
              </w:rPr>
              <w:t xml:space="preserve">. Mechanism of rearrangement of </w:t>
            </w:r>
            <w:proofErr w:type="spellStart"/>
            <w:r w:rsidRPr="00B20BD8">
              <w:rPr>
                <w:rFonts w:ascii="Times New Roman" w:hAnsi="Times New Roman"/>
                <w:sz w:val="18"/>
                <w:szCs w:val="18"/>
              </w:rPr>
              <w:t>carbocations</w:t>
            </w:r>
            <w:proofErr w:type="spellEnd"/>
            <w:r w:rsidRPr="00B20BD8">
              <w:rPr>
                <w:rFonts w:ascii="Times New Roman" w:hAnsi="Times New Roman"/>
                <w:sz w:val="18"/>
                <w:szCs w:val="18"/>
              </w:rPr>
              <w:t>. Bridged (</w:t>
            </w:r>
            <w:proofErr w:type="spellStart"/>
            <w:r w:rsidRPr="00B20BD8">
              <w:rPr>
                <w:rFonts w:ascii="Times New Roman" w:hAnsi="Times New Roman"/>
                <w:sz w:val="18"/>
                <w:szCs w:val="18"/>
              </w:rPr>
              <w:t>nonclassical</w:t>
            </w:r>
            <w:proofErr w:type="spellEnd"/>
            <w:r w:rsidRPr="00B20BD8">
              <w:rPr>
                <w:rFonts w:ascii="Times New Roman" w:hAnsi="Times New Roman"/>
                <w:sz w:val="18"/>
                <w:szCs w:val="18"/>
              </w:rPr>
              <w:t xml:space="preserve">) </w:t>
            </w:r>
            <w:proofErr w:type="spellStart"/>
            <w:r w:rsidRPr="00B20BD8">
              <w:rPr>
                <w:rFonts w:ascii="Times New Roman" w:hAnsi="Times New Roman"/>
                <w:sz w:val="18"/>
                <w:szCs w:val="18"/>
              </w:rPr>
              <w:t>carbocations</w:t>
            </w:r>
            <w:proofErr w:type="spellEnd"/>
            <w:r w:rsidRPr="00B20BD8">
              <w:rPr>
                <w:rFonts w:ascii="Times New Roman" w:hAnsi="Times New Roman"/>
                <w:sz w:val="18"/>
                <w:szCs w:val="18"/>
              </w:rPr>
              <w:t>.</w:t>
            </w:r>
          </w:p>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 xml:space="preserve">Free radicals: generation and properties of free radicals. Structure and stereochemistry of free radicals. </w:t>
            </w:r>
            <w:proofErr w:type="spellStart"/>
            <w:r w:rsidRPr="00B20BD8">
              <w:rPr>
                <w:rFonts w:ascii="Times New Roman" w:hAnsi="Times New Roman"/>
                <w:sz w:val="18"/>
                <w:szCs w:val="18"/>
              </w:rPr>
              <w:t>Nucleophilicity</w:t>
            </w:r>
            <w:proofErr w:type="spellEnd"/>
            <w:r w:rsidRPr="00B20BD8">
              <w:rPr>
                <w:rFonts w:ascii="Times New Roman" w:hAnsi="Times New Roman"/>
                <w:sz w:val="18"/>
                <w:szCs w:val="18"/>
              </w:rPr>
              <w:t xml:space="preserve"> and </w:t>
            </w:r>
            <w:proofErr w:type="spellStart"/>
            <w:r w:rsidRPr="00B20BD8">
              <w:rPr>
                <w:rFonts w:ascii="Times New Roman" w:hAnsi="Times New Roman"/>
                <w:sz w:val="18"/>
                <w:szCs w:val="18"/>
              </w:rPr>
              <w:t>electrophilicity</w:t>
            </w:r>
            <w:proofErr w:type="spellEnd"/>
            <w:r w:rsidRPr="00B20BD8">
              <w:rPr>
                <w:rFonts w:ascii="Times New Roman" w:hAnsi="Times New Roman"/>
                <w:sz w:val="18"/>
                <w:szCs w:val="18"/>
              </w:rPr>
              <w:t xml:space="preserve"> of free radicals. Charged radicals – radicals cations and radical anions. Characteristics of reactions involving radicals. Chosen radicals reactions. Rearrangement reactions of free radicals. Intramolecular functionalization of organic compounds involving radicals intermediates – selected aspects.</w:t>
            </w:r>
          </w:p>
          <w:p w:rsidR="00E13BDF" w:rsidRPr="00B20BD8" w:rsidRDefault="00E13BDF" w:rsidP="00E13BDF">
            <w:pPr>
              <w:jc w:val="both"/>
              <w:rPr>
                <w:rFonts w:ascii="Times New Roman" w:hAnsi="Times New Roman"/>
                <w:sz w:val="18"/>
                <w:szCs w:val="18"/>
              </w:rPr>
            </w:pPr>
            <w:proofErr w:type="spellStart"/>
            <w:r w:rsidRPr="00B20BD8">
              <w:rPr>
                <w:rFonts w:ascii="Times New Roman" w:hAnsi="Times New Roman"/>
                <w:sz w:val="18"/>
                <w:szCs w:val="18"/>
              </w:rPr>
              <w:t>Carbenes</w:t>
            </w:r>
            <w:proofErr w:type="spellEnd"/>
            <w:r w:rsidRPr="00B20BD8">
              <w:rPr>
                <w:rFonts w:ascii="Times New Roman" w:hAnsi="Times New Roman"/>
                <w:sz w:val="18"/>
                <w:szCs w:val="18"/>
              </w:rPr>
              <w:t xml:space="preserve">: structure, stability and reactivity of </w:t>
            </w:r>
            <w:proofErr w:type="spellStart"/>
            <w:r w:rsidRPr="00B20BD8">
              <w:rPr>
                <w:rFonts w:ascii="Times New Roman" w:hAnsi="Times New Roman"/>
                <w:sz w:val="18"/>
                <w:szCs w:val="18"/>
              </w:rPr>
              <w:t>carbenes</w:t>
            </w:r>
            <w:proofErr w:type="spellEnd"/>
            <w:r w:rsidRPr="00B20BD8">
              <w:rPr>
                <w:rFonts w:ascii="Times New Roman" w:hAnsi="Times New Roman"/>
                <w:sz w:val="18"/>
                <w:szCs w:val="18"/>
              </w:rPr>
              <w:t xml:space="preserve">. Generation of </w:t>
            </w:r>
            <w:proofErr w:type="spellStart"/>
            <w:r w:rsidRPr="00B20BD8">
              <w:rPr>
                <w:rFonts w:ascii="Times New Roman" w:hAnsi="Times New Roman"/>
                <w:sz w:val="18"/>
                <w:szCs w:val="18"/>
              </w:rPr>
              <w:t>carbenes</w:t>
            </w:r>
            <w:proofErr w:type="spellEnd"/>
            <w:r w:rsidRPr="00B20BD8">
              <w:rPr>
                <w:rFonts w:ascii="Times New Roman" w:hAnsi="Times New Roman"/>
                <w:sz w:val="18"/>
                <w:szCs w:val="18"/>
              </w:rPr>
              <w:t xml:space="preserve">. Addition reactions. Insertion reactions. Rearrangement of </w:t>
            </w:r>
            <w:proofErr w:type="spellStart"/>
            <w:r w:rsidRPr="00B20BD8">
              <w:rPr>
                <w:rFonts w:ascii="Times New Roman" w:hAnsi="Times New Roman"/>
                <w:sz w:val="18"/>
                <w:szCs w:val="18"/>
              </w:rPr>
              <w:t>carbenes</w:t>
            </w:r>
            <w:proofErr w:type="spellEnd"/>
            <w:r w:rsidRPr="00B20BD8">
              <w:rPr>
                <w:rFonts w:ascii="Times New Roman" w:hAnsi="Times New Roman"/>
                <w:sz w:val="18"/>
                <w:szCs w:val="18"/>
              </w:rPr>
              <w:t>.</w:t>
            </w:r>
          </w:p>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 xml:space="preserve">Carbanions: acidity of hydrocarbons. Structure and stability of carbanions. Carbanion character of organometallic compounds. Carbanions stabilized by functional groups. Generation and properties of </w:t>
            </w:r>
            <w:proofErr w:type="spellStart"/>
            <w:r w:rsidRPr="00B20BD8">
              <w:rPr>
                <w:rFonts w:ascii="Times New Roman" w:hAnsi="Times New Roman"/>
                <w:sz w:val="18"/>
                <w:szCs w:val="18"/>
              </w:rPr>
              <w:t>enolates</w:t>
            </w:r>
            <w:proofErr w:type="spellEnd"/>
            <w:r w:rsidRPr="00B20BD8">
              <w:rPr>
                <w:rFonts w:ascii="Times New Roman" w:hAnsi="Times New Roman"/>
                <w:sz w:val="18"/>
                <w:szCs w:val="18"/>
              </w:rPr>
              <w:t xml:space="preserve"> and chosen stabilized carbanions.</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Basic reference materials</w:t>
            </w:r>
          </w:p>
        </w:tc>
        <w:tc>
          <w:tcPr>
            <w:tcW w:w="7087" w:type="dxa"/>
          </w:tcPr>
          <w:p w:rsidR="00E13BDF" w:rsidRPr="00B20BD8" w:rsidRDefault="00E13BDF" w:rsidP="00E13BDF">
            <w:pPr>
              <w:jc w:val="both"/>
              <w:rPr>
                <w:rFonts w:ascii="Times New Roman" w:hAnsi="Times New Roman"/>
                <w:sz w:val="18"/>
                <w:szCs w:val="18"/>
                <w:lang w:val="en-US"/>
              </w:rPr>
            </w:pPr>
            <w:r w:rsidRPr="00B20BD8">
              <w:rPr>
                <w:rFonts w:ascii="Times New Roman" w:hAnsi="Times New Roman"/>
                <w:sz w:val="18"/>
                <w:szCs w:val="18"/>
                <w:lang w:val="en-US"/>
              </w:rPr>
              <w:t>1.Materials provided by lecturer.</w:t>
            </w:r>
          </w:p>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lang w:val="en-US"/>
              </w:rPr>
              <w:t>2.</w:t>
            </w:r>
            <w:r w:rsidRPr="00B20BD8">
              <w:rPr>
                <w:rFonts w:ascii="Times New Roman" w:hAnsi="Times New Roman"/>
                <w:sz w:val="18"/>
                <w:szCs w:val="18"/>
              </w:rPr>
              <w:t xml:space="preserve"> </w:t>
            </w:r>
            <w:proofErr w:type="spellStart"/>
            <w:r w:rsidRPr="00B20BD8">
              <w:rPr>
                <w:rFonts w:ascii="Times New Roman" w:hAnsi="Times New Roman"/>
                <w:sz w:val="18"/>
                <w:szCs w:val="18"/>
              </w:rPr>
              <w:t>Clayden</w:t>
            </w:r>
            <w:proofErr w:type="spellEnd"/>
            <w:r w:rsidRPr="00B20BD8">
              <w:rPr>
                <w:rFonts w:ascii="Times New Roman" w:hAnsi="Times New Roman"/>
                <w:sz w:val="18"/>
                <w:szCs w:val="18"/>
              </w:rPr>
              <w:t>, J.; Greeves, N.; Warren, S. "Organic Chemistry", Second Edition, Oxford University Press, Oxford, 2012.</w:t>
            </w:r>
          </w:p>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3. Smith, M. B. "March's Advanced Organic Chemistry" 7th Edition, John Wiley &amp; Sons, New York, 2013.</w:t>
            </w:r>
          </w:p>
          <w:p w:rsidR="00E13BDF" w:rsidRPr="00B20BD8" w:rsidRDefault="00E13BDF" w:rsidP="00E13BDF">
            <w:pPr>
              <w:jc w:val="both"/>
              <w:rPr>
                <w:rFonts w:ascii="Times New Roman" w:hAnsi="Times New Roman"/>
                <w:sz w:val="18"/>
                <w:szCs w:val="18"/>
                <w:lang w:val="en-US"/>
              </w:rPr>
            </w:pPr>
            <w:r w:rsidRPr="00B20BD8">
              <w:rPr>
                <w:rFonts w:ascii="Times New Roman" w:hAnsi="Times New Roman"/>
                <w:sz w:val="18"/>
                <w:szCs w:val="18"/>
              </w:rPr>
              <w:t xml:space="preserve">4. Carey, F. A.; </w:t>
            </w:r>
            <w:proofErr w:type="spellStart"/>
            <w:r w:rsidRPr="00B20BD8">
              <w:rPr>
                <w:rFonts w:ascii="Times New Roman" w:hAnsi="Times New Roman"/>
                <w:sz w:val="18"/>
                <w:szCs w:val="18"/>
              </w:rPr>
              <w:t>Sundberg</w:t>
            </w:r>
            <w:proofErr w:type="spellEnd"/>
            <w:r w:rsidRPr="00B20BD8">
              <w:rPr>
                <w:rFonts w:ascii="Times New Roman" w:hAnsi="Times New Roman"/>
                <w:sz w:val="18"/>
                <w:szCs w:val="18"/>
              </w:rPr>
              <w:t>, R. J. “Advanced Organic Chemistry Part A: Structure and Mechanism”, 5th ed. Springer, 2007.</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Other reference materials</w:t>
            </w:r>
          </w:p>
        </w:tc>
        <w:tc>
          <w:tcPr>
            <w:tcW w:w="7087" w:type="dxa"/>
          </w:tcPr>
          <w:p w:rsidR="00E13BDF" w:rsidRPr="00B20BD8" w:rsidRDefault="00E13BDF" w:rsidP="00E13BDF">
            <w:pPr>
              <w:jc w:val="both"/>
              <w:rPr>
                <w:rFonts w:ascii="Times New Roman" w:hAnsi="Times New Roman"/>
                <w:sz w:val="18"/>
                <w:szCs w:val="18"/>
                <w:lang w:val="en-US"/>
              </w:rPr>
            </w:pPr>
            <w:r w:rsidRPr="00B20BD8">
              <w:rPr>
                <w:rFonts w:ascii="Times New Roman" w:hAnsi="Times New Roman"/>
                <w:sz w:val="18"/>
                <w:szCs w:val="18"/>
                <w:lang w:val="en"/>
              </w:rPr>
              <w:t>current scientific papers</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Average student workload outside classroom</w:t>
            </w:r>
          </w:p>
        </w:tc>
        <w:tc>
          <w:tcPr>
            <w:tcW w:w="7087" w:type="dxa"/>
          </w:tcPr>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20 hrs</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t>Comments</w:t>
            </w:r>
          </w:p>
        </w:tc>
        <w:tc>
          <w:tcPr>
            <w:tcW w:w="7087" w:type="dxa"/>
          </w:tcPr>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w:t>
            </w:r>
          </w:p>
        </w:tc>
      </w:tr>
      <w:tr w:rsidR="00E13BDF" w:rsidRPr="00B20BD8" w:rsidTr="00E7798D">
        <w:tc>
          <w:tcPr>
            <w:tcW w:w="2235" w:type="dxa"/>
            <w:shd w:val="clear" w:color="auto" w:fill="B2A1C7"/>
          </w:tcPr>
          <w:p w:rsidR="00E13BDF" w:rsidRPr="00B20BD8" w:rsidRDefault="00E13BDF" w:rsidP="00E13BDF">
            <w:pPr>
              <w:jc w:val="both"/>
              <w:rPr>
                <w:rFonts w:ascii="Times New Roman" w:hAnsi="Times New Roman"/>
                <w:b/>
                <w:sz w:val="18"/>
                <w:szCs w:val="18"/>
              </w:rPr>
            </w:pPr>
            <w:r w:rsidRPr="00B20BD8">
              <w:rPr>
                <w:rFonts w:ascii="Times New Roman" w:hAnsi="Times New Roman"/>
                <w:b/>
                <w:sz w:val="18"/>
                <w:szCs w:val="18"/>
              </w:rPr>
              <w:lastRenderedPageBreak/>
              <w:t>Last update</w:t>
            </w:r>
          </w:p>
        </w:tc>
        <w:tc>
          <w:tcPr>
            <w:tcW w:w="7087" w:type="dxa"/>
          </w:tcPr>
          <w:p w:rsidR="00E13BDF" w:rsidRPr="00B20BD8" w:rsidRDefault="00E13BDF" w:rsidP="00E13BDF">
            <w:pPr>
              <w:jc w:val="both"/>
              <w:rPr>
                <w:rFonts w:ascii="Times New Roman" w:hAnsi="Times New Roman"/>
                <w:sz w:val="18"/>
                <w:szCs w:val="18"/>
              </w:rPr>
            </w:pPr>
            <w:r w:rsidRPr="00B20BD8">
              <w:rPr>
                <w:rFonts w:ascii="Times New Roman" w:hAnsi="Times New Roman"/>
                <w:sz w:val="18"/>
                <w:szCs w:val="18"/>
              </w:rPr>
              <w:t>2019-04-08</w:t>
            </w:r>
          </w:p>
        </w:tc>
      </w:tr>
      <w:bookmarkEnd w:id="0"/>
    </w:tbl>
    <w:p w:rsidR="002F08AD" w:rsidRDefault="002F08AD"/>
    <w:sectPr w:rsidR="002F0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DF"/>
    <w:rsid w:val="002F08AD"/>
    <w:rsid w:val="00B20BD8"/>
    <w:rsid w:val="00E1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E13BDF"/>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E1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E13BDF"/>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E13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Ewelina Pabjańczyk-Wlazło</cp:lastModifiedBy>
  <cp:revision>2</cp:revision>
  <dcterms:created xsi:type="dcterms:W3CDTF">2019-04-23T15:05:00Z</dcterms:created>
  <dcterms:modified xsi:type="dcterms:W3CDTF">2019-05-23T21:34:00Z</dcterms:modified>
</cp:coreProperties>
</file>