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bookmarkStart w:id="0" w:name="_GoBack"/>
            <w:bookmarkEnd w:id="0"/>
            <w:r>
              <w:rPr>
                <w:rFonts w:cs="Times New Roman" w:ascii="Times New Roman" w:hAnsi="Times New Roman"/>
                <w:b/>
                <w:sz w:val="18"/>
                <w:szCs w:val="18"/>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CC1</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2</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Conducting research in the field of architecture and urban planning I</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Prowadzenie badań w dyscyplinie architektura i urbanistyka I</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English</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8 PRK</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Dr hab. nt. Artur Zaguła</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sz w:val="18"/>
                <w:szCs w:val="18"/>
                <w:lang w:val="pl-PL"/>
              </w:rPr>
            </w:pPr>
            <w:r>
              <w:rPr>
                <w:rFonts w:cs="Times New Roman" w:ascii="Times New Roman" w:hAnsi="Times New Roman"/>
                <w:b/>
                <w:sz w:val="18"/>
                <w:szCs w:val="18"/>
                <w:lang w:val="pl-PL"/>
              </w:rPr>
              <w:t>Dr hab. nt. Artur Zaguła, dr inż. arch. Błażej Ciarkowski</w:t>
            </w:r>
          </w:p>
        </w:tc>
      </w:tr>
      <w:tr>
        <w:trPr/>
        <w:tc>
          <w:tcPr>
            <w:tcW w:w="2152" w:type="dx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8"/>
                      <w:lang w:val="en-GB" w:eastAsia="en-GB"/>
                    </w:rPr>
                  </w:pPr>
                  <w:r>
                    <w:rPr>
                      <w:rFonts w:eastAsia="Times New Roman" w:cs="Times New Roman" w:ascii="Times New Roman" w:hAnsi="Times New Roman"/>
                      <w:b/>
                      <w:bCs/>
                      <w:sz w:val="14"/>
                      <w:szCs w:val="18"/>
                      <w:lang w:val="en-GB" w:eastAsia="en-GB"/>
                    </w:rPr>
                  </w:r>
                </w:p>
              </w:tc>
              <w:tc>
                <w:tcPr>
                  <w:tcW w:w="760"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lang w:val="pl-PL"/>
                    </w:rPr>
                  </w:pPr>
                  <w:r>
                    <w:rPr>
                      <w:rFonts w:cs="Times New Roman" w:ascii="Times New Roman" w:hAnsi="Times New Roman"/>
                      <w:b/>
                      <w:bCs/>
                      <w:color w:val="000000"/>
                      <w:sz w:val="14"/>
                      <w:szCs w:val="18"/>
                    </w:rPr>
                    <w:t>Lecture</w:t>
                  </w:r>
                </w:p>
              </w:tc>
              <w:tc>
                <w:tcPr>
                  <w:tcW w:w="797"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Tutorials</w:t>
                  </w:r>
                </w:p>
              </w:tc>
              <w:tc>
                <w:tcPr>
                  <w:tcW w:w="927"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Laboratory</w:t>
                  </w:r>
                </w:p>
              </w:tc>
              <w:tc>
                <w:tcPr>
                  <w:tcW w:w="758"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Project</w:t>
                  </w:r>
                </w:p>
              </w:tc>
              <w:tc>
                <w:tcPr>
                  <w:tcW w:w="825"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Seminar</w:t>
                  </w:r>
                </w:p>
              </w:tc>
              <w:tc>
                <w:tcPr>
                  <w:tcW w:w="741"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szCs w:val="18"/>
                    </w:rPr>
                  </w:pPr>
                  <w:r>
                    <w:rPr>
                      <w:rFonts w:cs="Times New Roman" w:ascii="Times New Roman" w:hAnsi="Times New Roman"/>
                      <w:b/>
                      <w:bCs/>
                      <w:color w:val="000000"/>
                      <w:sz w:val="14"/>
                      <w:szCs w:val="18"/>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797"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58"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30</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E-learning</w:t>
                  </w:r>
                </w:p>
              </w:tc>
              <w:tc>
                <w:tcPr>
                  <w:tcW w:w="760" w:type="dxa"/>
                  <w:tcBorders/>
                  <w:shd w:fill="auto"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No</w:t>
                  </w:r>
                </w:p>
              </w:tc>
              <w:tc>
                <w:tcPr>
                  <w:tcW w:w="797"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927"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58"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25"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741"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szCs w:val="18"/>
                    </w:rPr>
                  </w:pPr>
                  <w:r>
                    <w:rPr>
                      <w:rFonts w:eastAsia="Times New Roman" w:cs="Times New Roman" w:ascii="Times New Roman" w:hAnsi="Times New Roman"/>
                      <w:sz w:val="14"/>
                      <w:szCs w:val="18"/>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before="0" w:after="0"/>
                    <w:rPr>
                      <w:rFonts w:ascii="Times New Roman" w:hAnsi="Times New Roman" w:eastAsia="Times New Roman" w:cs="Times New Roman"/>
                      <w:sz w:val="14"/>
                      <w:szCs w:val="18"/>
                      <w:lang w:eastAsia="en-GB"/>
                    </w:rPr>
                  </w:pPr>
                  <w:r>
                    <w:rPr>
                      <w:rFonts w:cs="Times New Roman" w:ascii="Times New Roman" w:hAnsi="Times New Roman"/>
                      <w:color w:val="000000"/>
                      <w:sz w:val="14"/>
                      <w:szCs w:val="18"/>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0,00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0,00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bl>
          <w:p>
            <w:pPr>
              <w:pStyle w:val="Normal"/>
              <w:spacing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The aim of the course</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 The aim of the course is to prepare students for conducting scientific research in the discipline architecture and urban planning - creating footnotes and bibliography, the state of research, skilful selection of methodology.</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2. The aim of the subject is also to develop the ability to critically read and understand written sources regarding contemporary architecture and urban planning.</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A PhD student after completing the course is able to:</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1. use different types of footnotes, create a bibliography and state of research, and select methodologies appropriate to the subject of research.</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2. analyze the structure, research methodology and the content of scientific studies on contemporary architecture and urban planning.</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3. critically approach and evaluate written sources regarding contemporary architecture and urban planning.</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4. Formulate own conclusions regarding scientific studies in the field of contemporary architecture and urban planning.</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bCs/>
                <w:iCs/>
                <w:color w:val="000000"/>
                <w:sz w:val="18"/>
                <w:szCs w:val="18"/>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Verification methods of learning outcomes</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effect 1 - presented written work</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effects 2,3,4 - presentation and discussion</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The final grade consists of:</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t>The result of the written text - 60%</w:t>
            </w:r>
          </w:p>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Presentation and discussion - 40%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sz w:val="18"/>
                <w:szCs w:val="18"/>
              </w:rPr>
            </w:pPr>
            <w:r>
              <w:rPr>
                <w:rFonts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pl-PL"/>
              </w:rPr>
            </w:pPr>
            <w:r>
              <w:rPr>
                <w:rFonts w:cs="Times New Roman" w:ascii="Times New Roman" w:hAnsi="Times New Roman"/>
                <w:sz w:val="18"/>
                <w:szCs w:val="18"/>
                <w:lang w:val="pl-PL"/>
              </w:rPr>
              <w:t>None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Seminar</w:t>
            </w:r>
          </w:p>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 xml:space="preserve">At the first class, a list of reading material is passed to PhD students (each year selected individually with doctoral students). Next, during classes students prepare footnotes, bibliographies and become acquainted with the creation of the state of research and methodologies for conducting research in the discipline of architecture and urban planning. Readings are books and chapters in scientific or popular science books and scientific articles. During the seminars there is a discussion about the structure, research methodology and content of the papers. Doctoral students also present the assessment and their own conclusions resulting from the reading.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Determined each year individually with doctoral students.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rPr>
            </w:pPr>
            <w:r>
              <w:rPr>
                <w:rFonts w:cs="Times New Roman" w:ascii="Times New Roman" w:hAnsi="Times New Roman"/>
                <w:sz w:val="18"/>
                <w:szCs w:val="18"/>
                <w:lang w:val="en-GB"/>
              </w:rPr>
              <w:t>30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Times New Roman" w:hAnsi="Times New Roman" w:cs="Times New Roman"/>
                <w:b/>
                <w:b/>
                <w:sz w:val="18"/>
                <w:szCs w:val="18"/>
              </w:rPr>
            </w:pPr>
            <w:r>
              <w:rPr>
                <w:rFonts w:cs="Times New Roman" w:ascii="Times New Roman" w:hAnsi="Times New Roman"/>
                <w:b/>
                <w:sz w:val="18"/>
                <w:szCs w:val="18"/>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18"/>
                <w:szCs w:val="18"/>
                <w:lang w:val="en-GB"/>
              </w:rPr>
            </w:pPr>
            <w:r>
              <w:rPr>
                <w:rFonts w:cs="Times New Roman" w:ascii="Times New Roman" w:hAnsi="Times New Roman"/>
                <w:sz w:val="18"/>
                <w:szCs w:val="18"/>
                <w:lang w:val="en-GB"/>
              </w:rPr>
            </w:r>
          </w:p>
        </w:tc>
      </w:tr>
    </w:tbl>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0ac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80ac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D5797F2E-79B5-4B7C-BC01-884AFBFFEA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LibreOffice/5.3.0.3$Windows_x86 LibreOffice_project/7074905676c47b82bbcfbea1aeefc84afe1c50e1</Application>
  <Pages>1</Pages>
  <Words>406</Words>
  <Characters>2357</Characters>
  <CharactersWithSpaces>2697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2019-04-08T09:24:00Z</dcterms:created>
  <dc:creator>pc</dc:creator>
  <dc:description/>
  <dc:language>pl-PL</dc:language>
  <cp:lastModifiedBy>Małgorzata Kupczyńska</cp:lastModifiedBy>
  <dcterms:modified xsi:type="dcterms:W3CDTF">2019-05-24T14:55:00Z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